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5011E" w:rsidTr="00345119">
        <w:tc>
          <w:tcPr>
            <w:tcW w:w="9576" w:type="dxa"/>
            <w:noWrap/>
          </w:tcPr>
          <w:p w:rsidR="008423E4" w:rsidRPr="0022177D" w:rsidRDefault="002E2CF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E2CFE" w:rsidP="008423E4">
      <w:pPr>
        <w:jc w:val="center"/>
      </w:pPr>
    </w:p>
    <w:p w:rsidR="008423E4" w:rsidRPr="00B31F0E" w:rsidRDefault="002E2CFE" w:rsidP="008423E4"/>
    <w:p w:rsidR="008423E4" w:rsidRPr="00742794" w:rsidRDefault="002E2CF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5011E" w:rsidTr="00345119">
        <w:tc>
          <w:tcPr>
            <w:tcW w:w="9576" w:type="dxa"/>
          </w:tcPr>
          <w:p w:rsidR="008423E4" w:rsidRPr="00861995" w:rsidRDefault="002E2CFE" w:rsidP="00935DAA">
            <w:pPr>
              <w:jc w:val="right"/>
            </w:pPr>
            <w:r>
              <w:t>C.S.H.B. 3616</w:t>
            </w:r>
          </w:p>
        </w:tc>
      </w:tr>
      <w:tr w:rsidR="00E5011E" w:rsidTr="00345119">
        <w:tc>
          <w:tcPr>
            <w:tcW w:w="9576" w:type="dxa"/>
          </w:tcPr>
          <w:p w:rsidR="008423E4" w:rsidRPr="00861995" w:rsidRDefault="002E2CFE" w:rsidP="0056552D">
            <w:pPr>
              <w:jc w:val="right"/>
            </w:pPr>
            <w:r>
              <w:t xml:space="preserve">By: </w:t>
            </w:r>
            <w:r>
              <w:t>Hunter</w:t>
            </w:r>
          </w:p>
        </w:tc>
      </w:tr>
      <w:tr w:rsidR="00E5011E" w:rsidTr="00345119">
        <w:tc>
          <w:tcPr>
            <w:tcW w:w="9576" w:type="dxa"/>
          </w:tcPr>
          <w:p w:rsidR="008423E4" w:rsidRPr="00861995" w:rsidRDefault="002E2CFE" w:rsidP="00345119">
            <w:pPr>
              <w:jc w:val="right"/>
            </w:pPr>
            <w:r>
              <w:t>Homeland Security &amp; Public Safety</w:t>
            </w:r>
          </w:p>
        </w:tc>
      </w:tr>
      <w:tr w:rsidR="00E5011E" w:rsidTr="00345119">
        <w:tc>
          <w:tcPr>
            <w:tcW w:w="9576" w:type="dxa"/>
          </w:tcPr>
          <w:p w:rsidR="008423E4" w:rsidRDefault="002E2CF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E2CFE" w:rsidP="008423E4">
      <w:pPr>
        <w:tabs>
          <w:tab w:val="right" w:pos="9360"/>
        </w:tabs>
      </w:pPr>
    </w:p>
    <w:p w:rsidR="008423E4" w:rsidRDefault="002E2CFE" w:rsidP="008423E4"/>
    <w:p w:rsidR="008423E4" w:rsidRDefault="002E2CF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5011E" w:rsidTr="00345119">
        <w:tc>
          <w:tcPr>
            <w:tcW w:w="9576" w:type="dxa"/>
          </w:tcPr>
          <w:p w:rsidR="008423E4" w:rsidRPr="00A8133F" w:rsidRDefault="002E2CFE" w:rsidP="00151B5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E2CFE" w:rsidP="00151B5A"/>
          <w:p w:rsidR="008423E4" w:rsidRDefault="002E2CFE" w:rsidP="00151B5A">
            <w:pPr>
              <w:pStyle w:val="Header"/>
              <w:jc w:val="both"/>
            </w:pPr>
            <w:r>
              <w:t xml:space="preserve">It has been reported that faith-based organizations spent more than $200 million and </w:t>
            </w:r>
            <w:r>
              <w:t>provided</w:t>
            </w:r>
            <w:r>
              <w:t xml:space="preserve"> more than 500,000 hours </w:t>
            </w:r>
            <w:r>
              <w:t xml:space="preserve">of manpower in efforts to aid in the response to and recovery from </w:t>
            </w:r>
            <w:r>
              <w:t xml:space="preserve">Hurricane Harvey. </w:t>
            </w:r>
            <w:r>
              <w:t>However</w:t>
            </w:r>
            <w:r>
              <w:t>, it has been suggested that</w:t>
            </w:r>
            <w:r>
              <w:t xml:space="preserve"> emergency management systems </w:t>
            </w:r>
            <w:r>
              <w:t>sometimes</w:t>
            </w:r>
            <w:r>
              <w:t xml:space="preserve"> </w:t>
            </w:r>
            <w:r>
              <w:t xml:space="preserve">struggle with knowing exactly how to best integrate these </w:t>
            </w:r>
            <w:r>
              <w:t>organizations</w:t>
            </w:r>
            <w:r>
              <w:t xml:space="preserve"> in disaster response efforts</w:t>
            </w:r>
            <w:r>
              <w:t xml:space="preserve">. </w:t>
            </w:r>
            <w:r>
              <w:t>C.S.H.B.</w:t>
            </w:r>
            <w:r>
              <w:t xml:space="preserve"> 3616 </w:t>
            </w:r>
            <w:r>
              <w:t xml:space="preserve">seeks to create </w:t>
            </w:r>
            <w:r>
              <w:t>a task force of faith-based organizations to</w:t>
            </w:r>
            <w:r>
              <w:t xml:space="preserve"> study and find solutions to this issue.</w:t>
            </w:r>
          </w:p>
          <w:p w:rsidR="008423E4" w:rsidRPr="00E26B13" w:rsidRDefault="002E2CFE" w:rsidP="00151B5A">
            <w:pPr>
              <w:rPr>
                <w:b/>
              </w:rPr>
            </w:pPr>
          </w:p>
        </w:tc>
      </w:tr>
      <w:tr w:rsidR="00E5011E" w:rsidTr="00345119">
        <w:tc>
          <w:tcPr>
            <w:tcW w:w="9576" w:type="dxa"/>
          </w:tcPr>
          <w:p w:rsidR="0017725B" w:rsidRDefault="002E2CFE" w:rsidP="00151B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E2CFE" w:rsidP="00151B5A">
            <w:pPr>
              <w:rPr>
                <w:b/>
                <w:u w:val="single"/>
              </w:rPr>
            </w:pPr>
          </w:p>
          <w:p w:rsidR="00503F77" w:rsidRPr="00503F77" w:rsidRDefault="002E2CFE" w:rsidP="00151B5A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E2CFE" w:rsidP="00151B5A">
            <w:pPr>
              <w:rPr>
                <w:b/>
                <w:u w:val="single"/>
              </w:rPr>
            </w:pPr>
          </w:p>
        </w:tc>
      </w:tr>
      <w:tr w:rsidR="00E5011E" w:rsidTr="00345119">
        <w:tc>
          <w:tcPr>
            <w:tcW w:w="9576" w:type="dxa"/>
          </w:tcPr>
          <w:p w:rsidR="008423E4" w:rsidRPr="00A8133F" w:rsidRDefault="002E2CFE" w:rsidP="00151B5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E2CFE" w:rsidP="00151B5A"/>
          <w:p w:rsidR="00503F77" w:rsidRDefault="002E2CFE" w:rsidP="00151B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2E2CFE" w:rsidP="00151B5A">
            <w:pPr>
              <w:rPr>
                <w:b/>
              </w:rPr>
            </w:pPr>
          </w:p>
        </w:tc>
      </w:tr>
      <w:tr w:rsidR="00E5011E" w:rsidTr="00345119">
        <w:tc>
          <w:tcPr>
            <w:tcW w:w="9576" w:type="dxa"/>
          </w:tcPr>
          <w:p w:rsidR="008423E4" w:rsidRPr="00A8133F" w:rsidRDefault="002E2CFE" w:rsidP="00151B5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E2CFE" w:rsidP="00151B5A"/>
          <w:p w:rsidR="002F0CF5" w:rsidRDefault="002E2CFE" w:rsidP="00151B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3616 amends the Government Code to establish the </w:t>
            </w:r>
            <w:r w:rsidRPr="00AE6BAB">
              <w:t xml:space="preserve">task force on faith-based disaster </w:t>
            </w:r>
            <w:r>
              <w:t>response t</w:t>
            </w:r>
            <w:r w:rsidRPr="00943FA0">
              <w:t>o assist the</w:t>
            </w:r>
            <w:r>
              <w:t xml:space="preserve"> </w:t>
            </w:r>
            <w:r w:rsidRPr="00A13C1A">
              <w:t>Texas</w:t>
            </w:r>
            <w:r w:rsidRPr="00A13C1A">
              <w:t xml:space="preserve"> Division of Emergency Management</w:t>
            </w:r>
            <w:r>
              <w:t xml:space="preserve"> (</w:t>
            </w:r>
            <w:r w:rsidRPr="00A13C1A">
              <w:t>TDEM</w:t>
            </w:r>
            <w:r>
              <w:t xml:space="preserve">) </w:t>
            </w:r>
            <w:r>
              <w:t>by studying the participation of faith-based organizations in disaster response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sets out provisions relating to the composition of the task force</w:t>
            </w:r>
            <w:r>
              <w:t>,</w:t>
            </w:r>
            <w:r>
              <w:t xml:space="preserve"> </w:t>
            </w:r>
            <w:r>
              <w:t xml:space="preserve">provides </w:t>
            </w:r>
            <w:r>
              <w:t xml:space="preserve">for </w:t>
            </w:r>
            <w:r>
              <w:t>its</w:t>
            </w:r>
            <w:r>
              <w:t xml:space="preserve"> administration and operation</w:t>
            </w:r>
            <w:r>
              <w:t>, and require</w:t>
            </w:r>
            <w:r>
              <w:t>s the chief of TDEM to appoint members not later than October 1, 2019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requires TDEM to</w:t>
            </w:r>
            <w:r>
              <w:t xml:space="preserve"> provid</w:t>
            </w:r>
            <w:r>
              <w:t>e</w:t>
            </w:r>
            <w:r>
              <w:t xml:space="preserve"> administrative support</w:t>
            </w:r>
            <w:r>
              <w:t xml:space="preserve"> to the task force</w:t>
            </w:r>
            <w:r>
              <w:t>.</w:t>
            </w:r>
            <w:r>
              <w:t xml:space="preserve"> The bill requires the task force to do the following:</w:t>
            </w:r>
          </w:p>
          <w:p w:rsidR="002F0CF5" w:rsidRDefault="002E2CFE" w:rsidP="00151B5A">
            <w:pPr>
              <w:pStyle w:val="Header"/>
              <w:numPr>
                <w:ilvl w:val="0"/>
                <w:numId w:val="3"/>
              </w:numPr>
              <w:spacing w:before="120"/>
              <w:jc w:val="both"/>
            </w:pPr>
            <w:r>
              <w:t>develop and implement a plan for improving data collect</w:t>
            </w:r>
            <w:r>
              <w:t xml:space="preserve">ion regarding faith-based organizations that participate in disaster </w:t>
            </w:r>
            <w:r>
              <w:t>response</w:t>
            </w:r>
            <w:r>
              <w:t>;</w:t>
            </w:r>
          </w:p>
          <w:p w:rsidR="002F0CF5" w:rsidRDefault="002E2CFE" w:rsidP="00151B5A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develop best practices for communicating, cooperating, and collaborating with faith</w:t>
            </w:r>
            <w:r>
              <w:noBreakHyphen/>
            </w:r>
            <w:r>
              <w:t>based organizations to strengthen disaster response</w:t>
            </w:r>
            <w:r>
              <w:t xml:space="preserve"> in Texas</w:t>
            </w:r>
            <w:r>
              <w:t>;</w:t>
            </w:r>
          </w:p>
          <w:p w:rsidR="002F0CF5" w:rsidRDefault="002E2CFE" w:rsidP="00151B5A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identify and address inefficiencies in disaster </w:t>
            </w:r>
            <w:r>
              <w:t xml:space="preserve">response </w:t>
            </w:r>
            <w:r>
              <w:t>provided by the state and faith</w:t>
            </w:r>
            <w:r>
              <w:noBreakHyphen/>
            </w:r>
            <w:r>
              <w:t xml:space="preserve">based organizations; and </w:t>
            </w:r>
          </w:p>
          <w:p w:rsidR="002F0CF5" w:rsidRDefault="002E2CFE" w:rsidP="00151B5A">
            <w:pPr>
              <w:pStyle w:val="Header"/>
              <w:numPr>
                <w:ilvl w:val="0"/>
                <w:numId w:val="3"/>
              </w:numPr>
              <w:spacing w:before="120"/>
              <w:jc w:val="both"/>
            </w:pPr>
            <w:r>
              <w:t xml:space="preserve">identify and address gaps in state services that </w:t>
            </w:r>
            <w:r>
              <w:t xml:space="preserve">could be provided by </w:t>
            </w:r>
            <w:r>
              <w:t>faith-based organizations.</w:t>
            </w:r>
          </w:p>
          <w:p w:rsidR="002F0CF5" w:rsidRDefault="002E2CFE" w:rsidP="00151B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2E2CFE" w:rsidP="00151B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3616 </w:t>
            </w:r>
            <w:r>
              <w:t>requires the task force</w:t>
            </w:r>
            <w:r>
              <w:t xml:space="preserve"> </w:t>
            </w:r>
            <w:r>
              <w:t xml:space="preserve">to </w:t>
            </w:r>
            <w:r>
              <w:t xml:space="preserve">submit a </w:t>
            </w:r>
            <w:r>
              <w:t xml:space="preserve">report </w:t>
            </w:r>
            <w:r>
              <w:t xml:space="preserve">of the task force's activities and any recommendations for legislative or other action </w:t>
            </w:r>
            <w:r>
              <w:t>to the legislature and governor not later than December 1, 2020. The bill authorizes the task force to solicit</w:t>
            </w:r>
            <w:r>
              <w:t xml:space="preserve"> and</w:t>
            </w:r>
            <w:r>
              <w:t xml:space="preserve"> accept gifts</w:t>
            </w:r>
            <w:r>
              <w:t xml:space="preserve"> and</w:t>
            </w:r>
            <w:r>
              <w:t xml:space="preserve"> grants from any sourc</w:t>
            </w:r>
            <w:r>
              <w:t>e</w:t>
            </w:r>
            <w:r>
              <w:t xml:space="preserve"> to be used to carry out a function of the task force</w:t>
            </w:r>
            <w:r>
              <w:t xml:space="preserve">. The </w:t>
            </w:r>
            <w:r>
              <w:t xml:space="preserve">task force is abolished and the </w:t>
            </w:r>
            <w:r>
              <w:t xml:space="preserve">bill's </w:t>
            </w:r>
            <w:r>
              <w:t>provisions expire September 1, 2021.</w:t>
            </w:r>
          </w:p>
          <w:p w:rsidR="00886713" w:rsidRPr="00835628" w:rsidRDefault="002E2CFE" w:rsidP="00151B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5011E" w:rsidTr="00345119">
        <w:tc>
          <w:tcPr>
            <w:tcW w:w="9576" w:type="dxa"/>
          </w:tcPr>
          <w:p w:rsidR="008423E4" w:rsidRPr="00A8133F" w:rsidRDefault="002E2CFE" w:rsidP="00151B5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E2CFE" w:rsidP="00151B5A"/>
          <w:p w:rsidR="008423E4" w:rsidRPr="003624F2" w:rsidRDefault="002E2CFE" w:rsidP="00151B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E2CFE" w:rsidP="00151B5A">
            <w:pPr>
              <w:rPr>
                <w:b/>
              </w:rPr>
            </w:pPr>
          </w:p>
        </w:tc>
      </w:tr>
      <w:tr w:rsidR="00E5011E" w:rsidTr="00345119">
        <w:tc>
          <w:tcPr>
            <w:tcW w:w="9576" w:type="dxa"/>
          </w:tcPr>
          <w:p w:rsidR="0056552D" w:rsidRDefault="002E2CFE" w:rsidP="00151B5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</w:t>
            </w:r>
            <w:r>
              <w:rPr>
                <w:b/>
                <w:u w:val="single"/>
              </w:rPr>
              <w:t>RIGINAL AND SUBSTITUTE</w:t>
            </w:r>
          </w:p>
          <w:p w:rsidR="00B95432" w:rsidRDefault="002E2CFE" w:rsidP="00151B5A">
            <w:pPr>
              <w:jc w:val="both"/>
            </w:pPr>
          </w:p>
          <w:p w:rsidR="00B95432" w:rsidRDefault="002E2CFE" w:rsidP="00151B5A">
            <w:pPr>
              <w:jc w:val="both"/>
            </w:pPr>
            <w:r>
              <w:t>While C.S.H.B. 3616 may differ from the original in minor or nonsubstantive ways, the following summarizes the substantial differences between the introduced and committee substitute versions of the bill.</w:t>
            </w:r>
          </w:p>
          <w:p w:rsidR="00B95432" w:rsidRDefault="002E2CFE" w:rsidP="00151B5A">
            <w:pPr>
              <w:jc w:val="both"/>
            </w:pPr>
          </w:p>
          <w:p w:rsidR="00720945" w:rsidRDefault="002E2CFE" w:rsidP="00151B5A">
            <w:pPr>
              <w:jc w:val="both"/>
            </w:pPr>
            <w:r>
              <w:t xml:space="preserve">The substitute </w:t>
            </w:r>
            <w:r>
              <w:t>changes the</w:t>
            </w:r>
            <w:r>
              <w:t xml:space="preserve"> purpose for which</w:t>
            </w:r>
            <w:r>
              <w:t xml:space="preserve"> the task force </w:t>
            </w:r>
            <w:r>
              <w:t>is established from</w:t>
            </w:r>
            <w:r>
              <w:t xml:space="preserve"> assist</w:t>
            </w:r>
            <w:r>
              <w:t>ing</w:t>
            </w:r>
            <w:r>
              <w:t xml:space="preserve"> TDEM </w:t>
            </w:r>
            <w:r w:rsidRPr="00B95432">
              <w:t>in fulfilling certain duties</w:t>
            </w:r>
            <w:r>
              <w:t xml:space="preserve"> to assist</w:t>
            </w:r>
            <w:r>
              <w:t>ing</w:t>
            </w:r>
            <w:r>
              <w:t xml:space="preserve"> TDEM by studying </w:t>
            </w:r>
            <w:r w:rsidRPr="00B95432">
              <w:t>the participation of faith-based organizations in disaster response</w:t>
            </w:r>
            <w:r>
              <w:t xml:space="preserve">. </w:t>
            </w:r>
          </w:p>
          <w:p w:rsidR="00841B78" w:rsidRDefault="002E2CFE" w:rsidP="00151B5A">
            <w:pPr>
              <w:jc w:val="both"/>
            </w:pPr>
          </w:p>
          <w:p w:rsidR="006D567B" w:rsidRDefault="002E2CFE" w:rsidP="00151B5A">
            <w:pPr>
              <w:jc w:val="both"/>
            </w:pPr>
            <w:r>
              <w:t xml:space="preserve">The substitute does not include an authorization for the </w:t>
            </w:r>
            <w:r>
              <w:t>task force to administer gifts, grants, and donations or an authorization for the task force to solicit and accept donations</w:t>
            </w:r>
            <w:r>
              <w:t>.</w:t>
            </w:r>
            <w:r>
              <w:t xml:space="preserve"> </w:t>
            </w:r>
            <w:r>
              <w:t>The substitute clarifies</w:t>
            </w:r>
            <w:r>
              <w:t xml:space="preserve"> that gifts and grants </w:t>
            </w:r>
            <w:r>
              <w:t xml:space="preserve">accepted by the task force are to </w:t>
            </w:r>
            <w:r>
              <w:t>be used to carry out a function of the task force</w:t>
            </w:r>
            <w:r>
              <w:t>.</w:t>
            </w:r>
          </w:p>
          <w:p w:rsidR="006D567B" w:rsidRDefault="002E2CFE" w:rsidP="00151B5A">
            <w:pPr>
              <w:jc w:val="both"/>
            </w:pPr>
          </w:p>
          <w:p w:rsidR="00B95432" w:rsidRPr="00B95432" w:rsidRDefault="002E2CFE" w:rsidP="00151B5A">
            <w:pPr>
              <w:jc w:val="both"/>
            </w:pPr>
            <w:r>
              <w:t xml:space="preserve">The substitute </w:t>
            </w:r>
            <w:r>
              <w:t xml:space="preserve">clarifies that the task force is </w:t>
            </w:r>
            <w:r>
              <w:t>abolishe</w:t>
            </w:r>
            <w:r>
              <w:t>d</w:t>
            </w:r>
            <w:r>
              <w:t xml:space="preserve"> September 1, 2021.</w:t>
            </w:r>
          </w:p>
        </w:tc>
      </w:tr>
    </w:tbl>
    <w:p w:rsidR="004108C3" w:rsidRPr="008423E4" w:rsidRDefault="002E2CF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2CFE">
      <w:r>
        <w:separator/>
      </w:r>
    </w:p>
  </w:endnote>
  <w:endnote w:type="continuationSeparator" w:id="0">
    <w:p w:rsidR="00000000" w:rsidRDefault="002E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2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5011E" w:rsidTr="009C1E9A">
      <w:trPr>
        <w:cantSplit/>
      </w:trPr>
      <w:tc>
        <w:tcPr>
          <w:tcW w:w="0" w:type="pct"/>
        </w:tcPr>
        <w:p w:rsidR="00137D90" w:rsidRDefault="002E2C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E2CF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E2CF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E2C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E2C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011E" w:rsidTr="009C1E9A">
      <w:trPr>
        <w:cantSplit/>
      </w:trPr>
      <w:tc>
        <w:tcPr>
          <w:tcW w:w="0" w:type="pct"/>
        </w:tcPr>
        <w:p w:rsidR="00EC379B" w:rsidRDefault="002E2C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E2CF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28034</w:t>
          </w:r>
        </w:p>
      </w:tc>
      <w:tc>
        <w:tcPr>
          <w:tcW w:w="2453" w:type="pct"/>
        </w:tcPr>
        <w:p w:rsidR="00EC379B" w:rsidRDefault="002E2C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19.107.1300</w:t>
          </w:r>
          <w:r>
            <w:fldChar w:fldCharType="end"/>
          </w:r>
        </w:p>
      </w:tc>
    </w:tr>
    <w:tr w:rsidR="00E5011E" w:rsidTr="009C1E9A">
      <w:trPr>
        <w:cantSplit/>
      </w:trPr>
      <w:tc>
        <w:tcPr>
          <w:tcW w:w="0" w:type="pct"/>
        </w:tcPr>
        <w:p w:rsidR="00EC379B" w:rsidRDefault="002E2C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E2C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86R </w:t>
          </w:r>
          <w:r>
            <w:rPr>
              <w:rFonts w:ascii="Shruti" w:hAnsi="Shruti"/>
              <w:sz w:val="22"/>
            </w:rPr>
            <w:t>20257</w:t>
          </w:r>
        </w:p>
      </w:tc>
      <w:tc>
        <w:tcPr>
          <w:tcW w:w="2453" w:type="pct"/>
        </w:tcPr>
        <w:p w:rsidR="00EC379B" w:rsidRDefault="002E2CFE" w:rsidP="006D504F">
          <w:pPr>
            <w:pStyle w:val="Footer"/>
            <w:rPr>
              <w:rStyle w:val="PageNumber"/>
            </w:rPr>
          </w:pPr>
        </w:p>
        <w:p w:rsidR="00EC379B" w:rsidRDefault="002E2C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011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E2CF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E2CF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E2CF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2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2CFE">
      <w:r>
        <w:separator/>
      </w:r>
    </w:p>
  </w:footnote>
  <w:footnote w:type="continuationSeparator" w:id="0">
    <w:p w:rsidR="00000000" w:rsidRDefault="002E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2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2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2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1A86"/>
    <w:multiLevelType w:val="hybridMultilevel"/>
    <w:tmpl w:val="72162822"/>
    <w:lvl w:ilvl="0" w:tplc="3FECA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A3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82D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CB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8A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E4D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61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0A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6F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64FF"/>
    <w:multiLevelType w:val="hybridMultilevel"/>
    <w:tmpl w:val="C6EE25DA"/>
    <w:lvl w:ilvl="0" w:tplc="93D01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9A2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0C6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A0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E6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2B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C7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E8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045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9337B"/>
    <w:multiLevelType w:val="hybridMultilevel"/>
    <w:tmpl w:val="47027472"/>
    <w:lvl w:ilvl="0" w:tplc="89A4D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4D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DAC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65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65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0E38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2D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45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D6A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E"/>
    <w:rsid w:val="002E2CFE"/>
    <w:rsid w:val="00E5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C22743-6263-458F-8F65-C6E4DA46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250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5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50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5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5060"/>
    <w:rPr>
      <w:b/>
      <w:bCs/>
    </w:rPr>
  </w:style>
  <w:style w:type="paragraph" w:styleId="Revision">
    <w:name w:val="Revision"/>
    <w:hidden/>
    <w:uiPriority w:val="99"/>
    <w:semiHidden/>
    <w:rsid w:val="005E0384"/>
    <w:rPr>
      <w:sz w:val="24"/>
      <w:szCs w:val="24"/>
    </w:rPr>
  </w:style>
  <w:style w:type="character" w:styleId="Hyperlink">
    <w:name w:val="Hyperlink"/>
    <w:basedOn w:val="DefaultParagraphFont"/>
    <w:unhideWhenUsed/>
    <w:rsid w:val="00965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3032</Characters>
  <Application>Microsoft Office Word</Application>
  <DocSecurity>4</DocSecurity>
  <Lines>75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HB03616 (Committee Report (Substituted))</vt:lpstr>
    </vt:vector>
  </TitlesOfParts>
  <Company>State of Texas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28034</dc:subject>
  <dc:creator>State of Texas</dc:creator>
  <dc:description>HB 3616 by Hunter-(H)Homeland Security &amp; Public Safety (Substitute Document Number: 86R 20257)</dc:description>
  <cp:lastModifiedBy>Scotty Wimberley</cp:lastModifiedBy>
  <cp:revision>2</cp:revision>
  <cp:lastPrinted>2003-11-26T17:21:00Z</cp:lastPrinted>
  <dcterms:created xsi:type="dcterms:W3CDTF">2019-04-22T21:10:00Z</dcterms:created>
  <dcterms:modified xsi:type="dcterms:W3CDTF">2019-04-22T21:10:00Z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19.107.1300</vt:lpwstr>
  </property>
</Properties>
</file>