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2433" w:rsidTr="00345119">
        <w:tc>
          <w:tcPr>
            <w:tcW w:w="9576" w:type="dxa"/>
            <w:noWrap/>
          </w:tcPr>
          <w:p w:rsidR="008423E4" w:rsidRPr="0022177D" w:rsidRDefault="00F635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352B" w:rsidP="008423E4">
      <w:pPr>
        <w:jc w:val="center"/>
      </w:pPr>
    </w:p>
    <w:p w:rsidR="008423E4" w:rsidRPr="00B31F0E" w:rsidRDefault="00F6352B" w:rsidP="008423E4"/>
    <w:p w:rsidR="008423E4" w:rsidRPr="00742794" w:rsidRDefault="00F635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2433" w:rsidTr="00345119">
        <w:tc>
          <w:tcPr>
            <w:tcW w:w="9576" w:type="dxa"/>
          </w:tcPr>
          <w:p w:rsidR="008423E4" w:rsidRPr="00861995" w:rsidRDefault="00F6352B" w:rsidP="00345119">
            <w:pPr>
              <w:jc w:val="right"/>
            </w:pPr>
            <w:r>
              <w:t>C.S.H.B. 3628</w:t>
            </w:r>
          </w:p>
        </w:tc>
      </w:tr>
      <w:tr w:rsidR="00342433" w:rsidTr="00345119">
        <w:tc>
          <w:tcPr>
            <w:tcW w:w="9576" w:type="dxa"/>
          </w:tcPr>
          <w:p w:rsidR="008423E4" w:rsidRPr="00861995" w:rsidRDefault="00F6352B" w:rsidP="00461703">
            <w:pPr>
              <w:jc w:val="right"/>
            </w:pPr>
            <w:r>
              <w:t xml:space="preserve">By: </w:t>
            </w:r>
            <w:r>
              <w:t>Goodwin</w:t>
            </w:r>
          </w:p>
        </w:tc>
      </w:tr>
      <w:tr w:rsidR="00342433" w:rsidTr="00345119">
        <w:tc>
          <w:tcPr>
            <w:tcW w:w="9576" w:type="dxa"/>
          </w:tcPr>
          <w:p w:rsidR="008423E4" w:rsidRPr="00861995" w:rsidRDefault="00F6352B" w:rsidP="00345119">
            <w:pPr>
              <w:jc w:val="right"/>
            </w:pPr>
            <w:r>
              <w:t>Public Education</w:t>
            </w:r>
          </w:p>
        </w:tc>
      </w:tr>
      <w:tr w:rsidR="00342433" w:rsidTr="00345119">
        <w:tc>
          <w:tcPr>
            <w:tcW w:w="9576" w:type="dxa"/>
          </w:tcPr>
          <w:p w:rsidR="008423E4" w:rsidRDefault="00F6352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6352B" w:rsidP="008423E4">
      <w:pPr>
        <w:tabs>
          <w:tab w:val="right" w:pos="9360"/>
        </w:tabs>
      </w:pPr>
    </w:p>
    <w:p w:rsidR="008423E4" w:rsidRDefault="00F6352B" w:rsidP="008423E4"/>
    <w:p w:rsidR="008423E4" w:rsidRDefault="00F635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2433" w:rsidTr="00345119">
        <w:tc>
          <w:tcPr>
            <w:tcW w:w="9576" w:type="dxa"/>
          </w:tcPr>
          <w:p w:rsidR="008423E4" w:rsidRPr="00A8133F" w:rsidRDefault="00F6352B" w:rsidP="00B03D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352B" w:rsidP="00B03DBF"/>
          <w:p w:rsidR="008423E4" w:rsidRDefault="00F6352B" w:rsidP="00B03DBF">
            <w:pPr>
              <w:pStyle w:val="Header"/>
              <w:jc w:val="both"/>
            </w:pPr>
            <w:r>
              <w:t xml:space="preserve">Recent data published by the Texas Education Agency shows significant gaps between special education and non-special education </w:t>
            </w:r>
            <w:r>
              <w:t>students in Texas</w:t>
            </w:r>
            <w:r>
              <w:t>,</w:t>
            </w:r>
            <w:r>
              <w:t xml:space="preserve"> with special education students performing at lower rates in </w:t>
            </w:r>
            <w:r>
              <w:t xml:space="preserve">multiple </w:t>
            </w:r>
            <w:r>
              <w:t xml:space="preserve">areas, including graduation rates, STAAR test results, and college readiness measures. </w:t>
            </w:r>
            <w:r>
              <w:t>There are concerns that</w:t>
            </w:r>
            <w:r>
              <w:t xml:space="preserve"> some teachers with a special education certificate may n</w:t>
            </w:r>
            <w:r>
              <w:t xml:space="preserve">ot have </w:t>
            </w:r>
            <w:r>
              <w:t xml:space="preserve">sufficient </w:t>
            </w:r>
            <w:r>
              <w:t xml:space="preserve">knowledge or experience working with students with disabilities. It has been suggested, however, that </w:t>
            </w:r>
            <w:r>
              <w:t xml:space="preserve">equipping teachers with thorough training for this student population could </w:t>
            </w:r>
            <w:r>
              <w:t>improve outcomes for special education students</w:t>
            </w:r>
            <w:r>
              <w:t xml:space="preserve"> overall</w:t>
            </w:r>
            <w:r>
              <w:t xml:space="preserve">. </w:t>
            </w:r>
            <w:r>
              <w:t>C.</w:t>
            </w:r>
            <w:r>
              <w:t>S.</w:t>
            </w:r>
            <w:r>
              <w:t>H.B</w:t>
            </w:r>
            <w:r>
              <w:t>. </w:t>
            </w:r>
            <w:r>
              <w:t xml:space="preserve">3628 seeks to </w:t>
            </w:r>
            <w:r>
              <w:t>provide for the</w:t>
            </w:r>
            <w:r>
              <w:t xml:space="preserve"> establish</w:t>
            </w:r>
            <w:r>
              <w:t>ment of</w:t>
            </w:r>
            <w:r>
              <w:t xml:space="preserve"> a special education certificate </w:t>
            </w:r>
            <w:r>
              <w:t xml:space="preserve">to </w:t>
            </w:r>
            <w:r>
              <w:t xml:space="preserve">ensure special education teachers have appropriate education </w:t>
            </w:r>
            <w:r>
              <w:t xml:space="preserve">and training </w:t>
            </w:r>
            <w:r>
              <w:t xml:space="preserve">to teach students with disabilities. </w:t>
            </w:r>
          </w:p>
          <w:p w:rsidR="008423E4" w:rsidRPr="00B03DBF" w:rsidRDefault="00F6352B" w:rsidP="00B03DBF">
            <w:pPr>
              <w:rPr>
                <w:b/>
                <w:sz w:val="22"/>
              </w:rPr>
            </w:pPr>
          </w:p>
        </w:tc>
      </w:tr>
      <w:tr w:rsidR="00342433" w:rsidTr="00345119">
        <w:tc>
          <w:tcPr>
            <w:tcW w:w="9576" w:type="dxa"/>
          </w:tcPr>
          <w:p w:rsidR="0017725B" w:rsidRDefault="00F6352B" w:rsidP="00B03D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B03DBF" w:rsidRDefault="00F6352B" w:rsidP="00B03DBF">
            <w:pPr>
              <w:rPr>
                <w:b/>
                <w:sz w:val="22"/>
                <w:u w:val="single"/>
              </w:rPr>
            </w:pPr>
          </w:p>
          <w:p w:rsidR="00962C24" w:rsidRPr="00962C24" w:rsidRDefault="00F6352B" w:rsidP="00B03DBF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B03DBF" w:rsidRDefault="00F6352B" w:rsidP="00B03DBF">
            <w:pPr>
              <w:rPr>
                <w:b/>
                <w:sz w:val="22"/>
                <w:u w:val="single"/>
              </w:rPr>
            </w:pPr>
          </w:p>
        </w:tc>
      </w:tr>
      <w:tr w:rsidR="00342433" w:rsidTr="00345119">
        <w:tc>
          <w:tcPr>
            <w:tcW w:w="9576" w:type="dxa"/>
          </w:tcPr>
          <w:p w:rsidR="008423E4" w:rsidRPr="00A8133F" w:rsidRDefault="00F6352B" w:rsidP="00B03D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Pr="00B03DBF" w:rsidRDefault="00F6352B" w:rsidP="00B03DBF">
            <w:pPr>
              <w:rPr>
                <w:sz w:val="22"/>
              </w:rPr>
            </w:pPr>
          </w:p>
          <w:p w:rsidR="00962C24" w:rsidRDefault="00F6352B" w:rsidP="00B03D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State Board for Educator Certification in SECTION 2 of this bill.</w:t>
            </w:r>
          </w:p>
          <w:p w:rsidR="008423E4" w:rsidRPr="00B03DBF" w:rsidRDefault="00F6352B" w:rsidP="00B03DBF">
            <w:pPr>
              <w:rPr>
                <w:b/>
                <w:sz w:val="22"/>
              </w:rPr>
            </w:pPr>
          </w:p>
        </w:tc>
      </w:tr>
      <w:tr w:rsidR="00342433" w:rsidTr="00345119">
        <w:tc>
          <w:tcPr>
            <w:tcW w:w="9576" w:type="dxa"/>
          </w:tcPr>
          <w:p w:rsidR="008423E4" w:rsidRPr="00A8133F" w:rsidRDefault="00F6352B" w:rsidP="00B03D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B03DBF" w:rsidRDefault="00F6352B" w:rsidP="00B03DBF">
            <w:pPr>
              <w:rPr>
                <w:sz w:val="22"/>
              </w:rPr>
            </w:pPr>
          </w:p>
          <w:p w:rsidR="00CC6B43" w:rsidRDefault="00F6352B" w:rsidP="00B03DBF">
            <w:pPr>
              <w:pStyle w:val="Header"/>
              <w:jc w:val="both"/>
            </w:pPr>
            <w:r>
              <w:t>C.S.</w:t>
            </w:r>
            <w:r>
              <w:t xml:space="preserve">H.B. 3628 amends the Education Code to require the </w:t>
            </w:r>
            <w:r w:rsidRPr="00903157">
              <w:t xml:space="preserve">State Board for </w:t>
            </w:r>
            <w:r w:rsidRPr="00903157">
              <w:t>Educator Certification</w:t>
            </w:r>
            <w:r>
              <w:t xml:space="preserve"> (SBEC) to </w:t>
            </w:r>
            <w:r w:rsidRPr="00903157">
              <w:t>establish a special education certificate</w:t>
            </w:r>
            <w:r>
              <w:t xml:space="preserve"> for purposes of ensuring </w:t>
            </w:r>
            <w:r w:rsidRPr="00903157">
              <w:t>that there are teachers with special training in providing instruction to students with disabilities</w:t>
            </w:r>
            <w:r>
              <w:t xml:space="preserve">. The bill </w:t>
            </w:r>
            <w:r>
              <w:t>requires a person</w:t>
            </w:r>
            <w:r>
              <w:t>,</w:t>
            </w:r>
            <w:r>
              <w:t xml:space="preserve"> </w:t>
            </w:r>
            <w:r>
              <w:t>in order</w:t>
            </w:r>
            <w:r>
              <w:t xml:space="preserve"> to be eligible fo</w:t>
            </w:r>
            <w:r>
              <w:t>r certificat</w:t>
            </w:r>
            <w:r>
              <w:t>ion, beginning on or after January 1, 2021</w:t>
            </w:r>
            <w:r>
              <w:t>, to</w:t>
            </w:r>
            <w:r>
              <w:t>:</w:t>
            </w:r>
            <w:r>
              <w:t xml:space="preserve"> </w:t>
            </w:r>
          </w:p>
          <w:p w:rsidR="00CC6B43" w:rsidRDefault="00F6352B" w:rsidP="00B03DB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satisfactorily complete the course work </w:t>
            </w:r>
            <w:r>
              <w:t xml:space="preserve">or training </w:t>
            </w:r>
            <w:r>
              <w:t xml:space="preserve">for that certificate in an educator preparation program, including a knowledge-based and skills-based course of instruction </w:t>
            </w:r>
            <w:r>
              <w:t>or</w:t>
            </w:r>
            <w:r>
              <w:t xml:space="preserve"> field</w:t>
            </w:r>
            <w:r>
              <w:noBreakHyphen/>
            </w:r>
            <w:r>
              <w:t>based expe</w:t>
            </w:r>
            <w:r>
              <w:t xml:space="preserve">rience in providing instruction to students with disabilities; </w:t>
            </w:r>
          </w:p>
          <w:p w:rsidR="00CC6B43" w:rsidRDefault="00F6352B" w:rsidP="00B03DB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perform satisfactorily on a SBEC</w:t>
            </w:r>
            <w:r>
              <w:t>-</w:t>
            </w:r>
            <w:r>
              <w:t xml:space="preserve">prescribed special education certificate examination; and </w:t>
            </w:r>
          </w:p>
          <w:p w:rsidR="00CC6B43" w:rsidRDefault="00F6352B" w:rsidP="00B03DBF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satisfy any other requirements prescribed by </w:t>
            </w:r>
            <w:r>
              <w:t xml:space="preserve">the </w:t>
            </w:r>
            <w:r>
              <w:t xml:space="preserve">SBEC. </w:t>
            </w:r>
          </w:p>
          <w:p w:rsidR="004637FB" w:rsidRDefault="00F6352B" w:rsidP="00B03DBF">
            <w:pPr>
              <w:pStyle w:val="Header"/>
              <w:jc w:val="both"/>
            </w:pPr>
          </w:p>
          <w:p w:rsidR="008423E4" w:rsidRDefault="00F6352B" w:rsidP="00B03DBF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>3628 requires</w:t>
            </w:r>
            <w:r>
              <w:t xml:space="preserve"> </w:t>
            </w:r>
            <w:r>
              <w:t xml:space="preserve">the </w:t>
            </w:r>
            <w:r>
              <w:t xml:space="preserve">SBEC to propose </w:t>
            </w:r>
            <w:r>
              <w:t xml:space="preserve">rules </w:t>
            </w:r>
            <w:r w:rsidRPr="00962C24">
              <w:t>establishing requirements and prescribing an exam</w:t>
            </w:r>
            <w:r>
              <w:t xml:space="preserve">ination for </w:t>
            </w:r>
            <w:r>
              <w:t xml:space="preserve">the </w:t>
            </w:r>
            <w:r w:rsidRPr="00962C24">
              <w:t>certificate</w:t>
            </w:r>
            <w:r>
              <w:t xml:space="preserve"> and </w:t>
            </w:r>
            <w:r w:rsidRPr="00962C24">
              <w:t xml:space="preserve">establishing standards to govern the approval and renewal of approval of educator preparation programs for </w:t>
            </w:r>
            <w:r>
              <w:t xml:space="preserve">special education </w:t>
            </w:r>
            <w:r w:rsidRPr="00962C24">
              <w:t>certification.</w:t>
            </w:r>
          </w:p>
          <w:p w:rsidR="008423E4" w:rsidRPr="00B03DBF" w:rsidRDefault="00F6352B" w:rsidP="00B03DBF">
            <w:pPr>
              <w:rPr>
                <w:b/>
                <w:sz w:val="22"/>
              </w:rPr>
            </w:pPr>
          </w:p>
        </w:tc>
      </w:tr>
      <w:tr w:rsidR="00342433" w:rsidTr="00345119">
        <w:tc>
          <w:tcPr>
            <w:tcW w:w="9576" w:type="dxa"/>
          </w:tcPr>
          <w:p w:rsidR="008423E4" w:rsidRPr="00A8133F" w:rsidRDefault="00F6352B" w:rsidP="00B03D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352B" w:rsidP="00B03DBF"/>
          <w:p w:rsidR="008423E4" w:rsidRPr="003624F2" w:rsidRDefault="00F6352B" w:rsidP="00B03D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2019.</w:t>
            </w:r>
          </w:p>
          <w:p w:rsidR="008423E4" w:rsidRPr="00233FDB" w:rsidRDefault="00F6352B" w:rsidP="00B03DBF">
            <w:pPr>
              <w:rPr>
                <w:b/>
              </w:rPr>
            </w:pPr>
          </w:p>
        </w:tc>
      </w:tr>
      <w:tr w:rsidR="00342433" w:rsidTr="00345119">
        <w:tc>
          <w:tcPr>
            <w:tcW w:w="9576" w:type="dxa"/>
          </w:tcPr>
          <w:p w:rsidR="00461703" w:rsidRDefault="00F6352B" w:rsidP="00B03DB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3616A" w:rsidRDefault="00F6352B" w:rsidP="00B03DBF">
            <w:pPr>
              <w:jc w:val="both"/>
            </w:pPr>
          </w:p>
          <w:p w:rsidR="0033616A" w:rsidRDefault="00F6352B" w:rsidP="00B03DBF">
            <w:pPr>
              <w:jc w:val="both"/>
            </w:pPr>
            <w:r>
              <w:t>While C.S.H.B. 3628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:rsidR="0033616A" w:rsidRDefault="00F6352B" w:rsidP="00B03DBF">
            <w:pPr>
              <w:jc w:val="both"/>
            </w:pPr>
          </w:p>
          <w:p w:rsidR="00E45671" w:rsidRDefault="00F6352B" w:rsidP="00B03DBF">
            <w:pPr>
              <w:jc w:val="both"/>
            </w:pPr>
            <w:r>
              <w:t xml:space="preserve">The substitute </w:t>
            </w:r>
            <w:r>
              <w:t>revises</w:t>
            </w:r>
            <w:r>
              <w:t xml:space="preserve"> the </w:t>
            </w:r>
            <w:r>
              <w:t xml:space="preserve">special education certificate eligibility </w:t>
            </w:r>
            <w:r>
              <w:t xml:space="preserve">requirement </w:t>
            </w:r>
            <w:r>
              <w:t>regarding</w:t>
            </w:r>
            <w:r>
              <w:t xml:space="preserve"> </w:t>
            </w:r>
            <w:r>
              <w:t>satisfactorily complet</w:t>
            </w:r>
            <w:r>
              <w:t>ion of</w:t>
            </w:r>
            <w:r>
              <w:t xml:space="preserve"> </w:t>
            </w:r>
            <w:r w:rsidRPr="00E45671">
              <w:t>course work</w:t>
            </w:r>
            <w:r>
              <w:t xml:space="preserve"> for </w:t>
            </w:r>
            <w:r>
              <w:t xml:space="preserve">that </w:t>
            </w:r>
            <w:r>
              <w:t>certificate</w:t>
            </w:r>
            <w:r w:rsidRPr="00E45671">
              <w:t xml:space="preserve"> in an educator preparation prog</w:t>
            </w:r>
            <w:r w:rsidRPr="00E45671">
              <w:t>ram</w:t>
            </w:r>
            <w:r>
              <w:t xml:space="preserve"> </w:t>
            </w:r>
            <w:r>
              <w:t>by:</w:t>
            </w:r>
          </w:p>
          <w:p w:rsidR="00E45671" w:rsidRDefault="00F6352B" w:rsidP="00B03DB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includ</w:t>
            </w:r>
            <w:r>
              <w:t xml:space="preserve">ing </w:t>
            </w:r>
            <w:r>
              <w:t xml:space="preserve">the option to </w:t>
            </w:r>
            <w:r>
              <w:t xml:space="preserve">satisfactorily </w:t>
            </w:r>
            <w:r>
              <w:t xml:space="preserve">complete </w:t>
            </w:r>
            <w:r>
              <w:t xml:space="preserve">training for </w:t>
            </w:r>
            <w:r>
              <w:t>the</w:t>
            </w:r>
            <w:r>
              <w:t xml:space="preserve"> certificate </w:t>
            </w:r>
            <w:r>
              <w:t>as an alternative to completing</w:t>
            </w:r>
            <w:r>
              <w:t xml:space="preserve"> that</w:t>
            </w:r>
            <w:r>
              <w:t xml:space="preserve"> course</w:t>
            </w:r>
            <w:r>
              <w:t xml:space="preserve"> </w:t>
            </w:r>
            <w:r>
              <w:t>work; and</w:t>
            </w:r>
          </w:p>
          <w:p w:rsidR="0033616A" w:rsidRDefault="00F6352B" w:rsidP="00B03DBF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specifying that</w:t>
            </w:r>
            <w:r>
              <w:t xml:space="preserve"> the course work or training include</w:t>
            </w:r>
            <w:r>
              <w:t>s</w:t>
            </w:r>
            <w:r>
              <w:t xml:space="preserve"> either a</w:t>
            </w:r>
            <w:r>
              <w:t xml:space="preserve"> knowledge-based and skills-based </w:t>
            </w:r>
            <w:r>
              <w:t xml:space="preserve">course of instruction </w:t>
            </w:r>
            <w:r>
              <w:t>or field-based experience</w:t>
            </w:r>
            <w:r>
              <w:t xml:space="preserve"> in providing instruction to students with disabilities</w:t>
            </w:r>
            <w:r>
              <w:t xml:space="preserve">, </w:t>
            </w:r>
            <w:r>
              <w:t>instead of</w:t>
            </w:r>
            <w:r>
              <w:t xml:space="preserve"> including</w:t>
            </w:r>
            <w:r>
              <w:t xml:space="preserve"> both</w:t>
            </w:r>
            <w:r>
              <w:t>.</w:t>
            </w:r>
          </w:p>
          <w:p w:rsidR="003A3C8F" w:rsidRDefault="00F6352B" w:rsidP="00B03DBF">
            <w:pPr>
              <w:jc w:val="both"/>
            </w:pPr>
          </w:p>
          <w:p w:rsidR="003A3C8F" w:rsidRDefault="00F6352B" w:rsidP="00B03DBF">
            <w:pPr>
              <w:jc w:val="both"/>
            </w:pPr>
            <w:r>
              <w:t xml:space="preserve">The substitute does not include </w:t>
            </w:r>
            <w:r>
              <w:t xml:space="preserve">a provision </w:t>
            </w:r>
            <w:r>
              <w:t>authoriz</w:t>
            </w:r>
            <w:r>
              <w:t>ing</w:t>
            </w:r>
            <w:r>
              <w:t xml:space="preserve"> the SBEC to offer incentives to teachers to become special education certified </w:t>
            </w:r>
            <w:r>
              <w:t xml:space="preserve">if it determines there is </w:t>
            </w:r>
            <w:r>
              <w:t>a shortage of teachers</w:t>
            </w:r>
            <w:r>
              <w:t xml:space="preserve"> who hold such certificates</w:t>
            </w:r>
            <w:r>
              <w:t>.</w:t>
            </w:r>
          </w:p>
          <w:p w:rsidR="0033616A" w:rsidRPr="0033616A" w:rsidRDefault="00F6352B" w:rsidP="00B03DBF">
            <w:pPr>
              <w:jc w:val="both"/>
            </w:pPr>
          </w:p>
        </w:tc>
      </w:tr>
      <w:tr w:rsidR="00342433" w:rsidTr="00345119">
        <w:tc>
          <w:tcPr>
            <w:tcW w:w="9576" w:type="dxa"/>
          </w:tcPr>
          <w:p w:rsidR="00461703" w:rsidRPr="009C1E9A" w:rsidRDefault="00F6352B" w:rsidP="00B03DBF">
            <w:pPr>
              <w:rPr>
                <w:b/>
                <w:u w:val="single"/>
              </w:rPr>
            </w:pPr>
          </w:p>
        </w:tc>
      </w:tr>
      <w:tr w:rsidR="00342433" w:rsidTr="00345119">
        <w:tc>
          <w:tcPr>
            <w:tcW w:w="9576" w:type="dxa"/>
          </w:tcPr>
          <w:p w:rsidR="00461703" w:rsidRPr="00461703" w:rsidRDefault="00F6352B" w:rsidP="00B03DBF">
            <w:pPr>
              <w:jc w:val="both"/>
            </w:pPr>
          </w:p>
        </w:tc>
      </w:tr>
    </w:tbl>
    <w:p w:rsidR="008423E4" w:rsidRPr="00BE0E75" w:rsidRDefault="00F6352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352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352B">
      <w:r>
        <w:separator/>
      </w:r>
    </w:p>
  </w:endnote>
  <w:endnote w:type="continuationSeparator" w:id="0">
    <w:p w:rsidR="00000000" w:rsidRDefault="00F6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3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2433" w:rsidTr="009C1E9A">
      <w:trPr>
        <w:cantSplit/>
      </w:trPr>
      <w:tc>
        <w:tcPr>
          <w:tcW w:w="0" w:type="pct"/>
        </w:tcPr>
        <w:p w:rsidR="00137D90" w:rsidRDefault="00F635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35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35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35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35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2433" w:rsidTr="009C1E9A">
      <w:trPr>
        <w:cantSplit/>
      </w:trPr>
      <w:tc>
        <w:tcPr>
          <w:tcW w:w="0" w:type="pct"/>
        </w:tcPr>
        <w:p w:rsidR="00EC379B" w:rsidRDefault="00F635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35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31552</w:t>
          </w:r>
        </w:p>
      </w:tc>
      <w:tc>
        <w:tcPr>
          <w:tcW w:w="2453" w:type="pct"/>
        </w:tcPr>
        <w:p w:rsidR="00EC379B" w:rsidRDefault="00F635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19.123.282</w:t>
          </w:r>
          <w:r>
            <w:fldChar w:fldCharType="end"/>
          </w:r>
        </w:p>
      </w:tc>
    </w:tr>
    <w:tr w:rsidR="00342433" w:rsidTr="009C1E9A">
      <w:trPr>
        <w:cantSplit/>
      </w:trPr>
      <w:tc>
        <w:tcPr>
          <w:tcW w:w="0" w:type="pct"/>
        </w:tcPr>
        <w:p w:rsidR="00EC379B" w:rsidRDefault="00F635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35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25021</w:t>
          </w:r>
        </w:p>
      </w:tc>
      <w:tc>
        <w:tcPr>
          <w:tcW w:w="2453" w:type="pct"/>
        </w:tcPr>
        <w:p w:rsidR="00EC379B" w:rsidRDefault="00F6352B" w:rsidP="006D504F">
          <w:pPr>
            <w:pStyle w:val="Footer"/>
            <w:rPr>
              <w:rStyle w:val="PageNumber"/>
            </w:rPr>
          </w:pPr>
        </w:p>
        <w:p w:rsidR="00EC379B" w:rsidRDefault="00F635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24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35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635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35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352B">
      <w:r>
        <w:separator/>
      </w:r>
    </w:p>
  </w:footnote>
  <w:footnote w:type="continuationSeparator" w:id="0">
    <w:p w:rsidR="00000000" w:rsidRDefault="00F6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3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3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3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68C"/>
    <w:multiLevelType w:val="hybridMultilevel"/>
    <w:tmpl w:val="7E761BF0"/>
    <w:lvl w:ilvl="0" w:tplc="311C4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A3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60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08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0C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41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22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00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030B"/>
    <w:multiLevelType w:val="hybridMultilevel"/>
    <w:tmpl w:val="D2689830"/>
    <w:lvl w:ilvl="0" w:tplc="AFA25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E6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8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E8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AE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67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4F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EA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8E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3"/>
    <w:rsid w:val="00342433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60749-2ECC-401C-9DFB-72E8B66E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2C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2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2C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2C24"/>
    <w:rPr>
      <w:b/>
      <w:bCs/>
    </w:rPr>
  </w:style>
  <w:style w:type="paragraph" w:styleId="ListParagraph">
    <w:name w:val="List Paragraph"/>
    <w:basedOn w:val="Normal"/>
    <w:uiPriority w:val="34"/>
    <w:qFormat/>
    <w:rsid w:val="00E4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3092</Characters>
  <Application>Microsoft Office Word</Application>
  <DocSecurity>4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HB03628 (Committee Report (Substituted))</vt:lpstr>
    </vt:vector>
  </TitlesOfParts>
  <Company>State of Texas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31552</dc:subject>
  <dc:creator>State of Texas</dc:creator>
  <dc:description>HB 3628 by Goodwin-(H)Public Education (Substitute Document Number: 86R 25021)</dc:description>
  <cp:lastModifiedBy>Scotty Wimberley</cp:lastModifiedBy>
  <cp:revision>2</cp:revision>
  <cp:lastPrinted>2003-11-26T17:21:00Z</cp:lastPrinted>
  <dcterms:created xsi:type="dcterms:W3CDTF">2019-05-05T20:28:00Z</dcterms:created>
  <dcterms:modified xsi:type="dcterms:W3CDTF">2019-05-05T20:28:00Z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19.123.282</vt:lpwstr>
  </property>
</Properties>
</file>