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22D4E" w:rsidTr="00345119">
        <w:tc>
          <w:tcPr>
            <w:tcW w:w="9576" w:type="dxa"/>
            <w:noWrap/>
          </w:tcPr>
          <w:p w:rsidR="008423E4" w:rsidRPr="0022177D" w:rsidRDefault="00C530D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530D4" w:rsidP="008423E4">
      <w:pPr>
        <w:jc w:val="center"/>
      </w:pPr>
    </w:p>
    <w:p w:rsidR="008423E4" w:rsidRPr="00B31F0E" w:rsidRDefault="00C530D4" w:rsidP="008423E4"/>
    <w:p w:rsidR="008423E4" w:rsidRPr="00742794" w:rsidRDefault="00C530D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2D4E" w:rsidTr="00345119">
        <w:tc>
          <w:tcPr>
            <w:tcW w:w="9576" w:type="dxa"/>
          </w:tcPr>
          <w:p w:rsidR="008423E4" w:rsidRPr="00861995" w:rsidRDefault="00C530D4" w:rsidP="00345119">
            <w:pPr>
              <w:jc w:val="right"/>
            </w:pPr>
            <w:r>
              <w:t>H.B. 3630</w:t>
            </w:r>
          </w:p>
        </w:tc>
      </w:tr>
      <w:tr w:rsidR="00522D4E" w:rsidTr="00345119">
        <w:tc>
          <w:tcPr>
            <w:tcW w:w="9576" w:type="dxa"/>
          </w:tcPr>
          <w:p w:rsidR="008423E4" w:rsidRPr="00861995" w:rsidRDefault="00C530D4" w:rsidP="00E72649">
            <w:pPr>
              <w:jc w:val="right"/>
            </w:pPr>
            <w:r>
              <w:t xml:space="preserve">By: </w:t>
            </w:r>
            <w:r>
              <w:t>Meyer</w:t>
            </w:r>
          </w:p>
        </w:tc>
      </w:tr>
      <w:tr w:rsidR="00522D4E" w:rsidTr="00345119">
        <w:tc>
          <w:tcPr>
            <w:tcW w:w="9576" w:type="dxa"/>
          </w:tcPr>
          <w:p w:rsidR="008423E4" w:rsidRPr="00861995" w:rsidRDefault="00C530D4" w:rsidP="00345119">
            <w:pPr>
              <w:jc w:val="right"/>
            </w:pPr>
            <w:r>
              <w:t>Public Education</w:t>
            </w:r>
          </w:p>
        </w:tc>
      </w:tr>
      <w:tr w:rsidR="00522D4E" w:rsidTr="00345119">
        <w:tc>
          <w:tcPr>
            <w:tcW w:w="9576" w:type="dxa"/>
          </w:tcPr>
          <w:p w:rsidR="008423E4" w:rsidRDefault="00C530D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530D4" w:rsidP="008423E4">
      <w:pPr>
        <w:tabs>
          <w:tab w:val="right" w:pos="9360"/>
        </w:tabs>
      </w:pPr>
    </w:p>
    <w:p w:rsidR="008423E4" w:rsidRDefault="00C530D4" w:rsidP="008423E4"/>
    <w:p w:rsidR="008423E4" w:rsidRDefault="00C530D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22D4E" w:rsidTr="00345119">
        <w:tc>
          <w:tcPr>
            <w:tcW w:w="9576" w:type="dxa"/>
          </w:tcPr>
          <w:p w:rsidR="008423E4" w:rsidRPr="00A8133F" w:rsidRDefault="00C530D4" w:rsidP="005A7D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530D4" w:rsidP="005A7D33"/>
          <w:p w:rsidR="008423E4" w:rsidRDefault="00C530D4" w:rsidP="005A7D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 w:rsidRPr="00E72649">
              <w:t xml:space="preserve"> public schools </w:t>
            </w:r>
            <w:r>
              <w:t>are not expressly prohibited from</w:t>
            </w:r>
            <w:r w:rsidRPr="00E72649">
              <w:t xml:space="preserve"> us</w:t>
            </w:r>
            <w:r>
              <w:t>ing</w:t>
            </w:r>
            <w:r w:rsidRPr="00E72649">
              <w:t xml:space="preserve"> </w:t>
            </w:r>
            <w:r>
              <w:t xml:space="preserve">certain </w:t>
            </w:r>
            <w:r w:rsidRPr="00E72649">
              <w:t xml:space="preserve">potentially dangerous restraint and seclusion techniques on students. H.B. 3630 seeks to </w:t>
            </w:r>
            <w:r>
              <w:t>address this issue</w:t>
            </w:r>
            <w:r w:rsidRPr="00E72649">
              <w:t xml:space="preserve"> </w:t>
            </w:r>
            <w:r>
              <w:t>and</w:t>
            </w:r>
            <w:r w:rsidRPr="00E72649">
              <w:t xml:space="preserve"> </w:t>
            </w:r>
            <w:r>
              <w:t xml:space="preserve">protect students from </w:t>
            </w:r>
            <w:r>
              <w:t>dangerous disciplinary procedures</w:t>
            </w:r>
            <w:r>
              <w:t xml:space="preserve"> by providing for such a prohibition. </w:t>
            </w:r>
          </w:p>
          <w:p w:rsidR="008423E4" w:rsidRPr="00E26B13" w:rsidRDefault="00C530D4" w:rsidP="005A7D33">
            <w:pPr>
              <w:rPr>
                <w:b/>
              </w:rPr>
            </w:pPr>
          </w:p>
        </w:tc>
      </w:tr>
      <w:tr w:rsidR="00522D4E" w:rsidTr="00345119">
        <w:tc>
          <w:tcPr>
            <w:tcW w:w="9576" w:type="dxa"/>
          </w:tcPr>
          <w:p w:rsidR="0017725B" w:rsidRDefault="00C530D4" w:rsidP="005A7D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530D4" w:rsidP="005A7D33">
            <w:pPr>
              <w:rPr>
                <w:b/>
                <w:u w:val="single"/>
              </w:rPr>
            </w:pPr>
          </w:p>
          <w:p w:rsidR="00EB2FEB" w:rsidRPr="00EB2FEB" w:rsidRDefault="00C530D4" w:rsidP="005A7D33">
            <w:pPr>
              <w:jc w:val="both"/>
            </w:pPr>
            <w:r>
              <w:t>It is the committee's o</w:t>
            </w:r>
            <w:r>
              <w:t>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530D4" w:rsidP="005A7D33">
            <w:pPr>
              <w:rPr>
                <w:b/>
                <w:u w:val="single"/>
              </w:rPr>
            </w:pPr>
          </w:p>
        </w:tc>
      </w:tr>
      <w:tr w:rsidR="00522D4E" w:rsidTr="00345119">
        <w:tc>
          <w:tcPr>
            <w:tcW w:w="9576" w:type="dxa"/>
          </w:tcPr>
          <w:p w:rsidR="008423E4" w:rsidRPr="00A8133F" w:rsidRDefault="00C530D4" w:rsidP="005A7D3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</w:t>
            </w:r>
            <w:r w:rsidRPr="009C1E9A">
              <w:rPr>
                <w:b/>
                <w:u w:val="single"/>
              </w:rPr>
              <w:t>AKING AUTHORITY</w:t>
            </w:r>
            <w:r>
              <w:rPr>
                <w:b/>
              </w:rPr>
              <w:t xml:space="preserve"> </w:t>
            </w:r>
          </w:p>
          <w:p w:rsidR="008423E4" w:rsidRDefault="00C530D4" w:rsidP="005A7D33"/>
          <w:p w:rsidR="00EB2FEB" w:rsidRDefault="00C530D4" w:rsidP="005A7D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530D4" w:rsidP="005A7D33">
            <w:pPr>
              <w:rPr>
                <w:b/>
              </w:rPr>
            </w:pPr>
          </w:p>
        </w:tc>
      </w:tr>
      <w:tr w:rsidR="00522D4E" w:rsidTr="00345119">
        <w:tc>
          <w:tcPr>
            <w:tcW w:w="9576" w:type="dxa"/>
          </w:tcPr>
          <w:p w:rsidR="008423E4" w:rsidRPr="00A8133F" w:rsidRDefault="00C530D4" w:rsidP="005A7D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530D4" w:rsidP="005A7D33"/>
          <w:p w:rsidR="008423E4" w:rsidRDefault="00C530D4" w:rsidP="005A7D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3630 amends the Education Code</w:t>
            </w:r>
            <w:r>
              <w:t>,</w:t>
            </w:r>
            <w:r>
              <w:t xml:space="preserve"> </w:t>
            </w:r>
            <w:r>
              <w:t xml:space="preserve">in provisions relating to the use of confinement, restraint, seclusion, and time-out </w:t>
            </w:r>
            <w:r>
              <w:t xml:space="preserve">with respect to alternative settings for behavior management in public schools, </w:t>
            </w:r>
            <w:r>
              <w:t>to prohibit a public school district or a district employee</w:t>
            </w:r>
            <w:r>
              <w:t>,</w:t>
            </w:r>
            <w:r>
              <w:t xml:space="preserve"> volunteer</w:t>
            </w:r>
            <w:r>
              <w:t>,</w:t>
            </w:r>
            <w:r>
              <w:t xml:space="preserve"> or an </w:t>
            </w:r>
            <w:r w:rsidRPr="008725CD">
              <w:t>independent c</w:t>
            </w:r>
            <w:r w:rsidRPr="008725CD">
              <w:t xml:space="preserve">ontractor </w:t>
            </w:r>
            <w:r>
              <w:t>from authorizing</w:t>
            </w:r>
            <w:r w:rsidRPr="008725CD">
              <w:t>, order</w:t>
            </w:r>
            <w:r>
              <w:t>ing</w:t>
            </w:r>
            <w:r w:rsidRPr="008725CD">
              <w:t>, consent</w:t>
            </w:r>
            <w:r>
              <w:t>ing</w:t>
            </w:r>
            <w:r w:rsidRPr="008725CD">
              <w:t xml:space="preserve"> to, or pay</w:t>
            </w:r>
            <w:r>
              <w:t>ing</w:t>
            </w:r>
            <w:r w:rsidRPr="008725CD">
              <w:t xml:space="preserve"> for any of the following:</w:t>
            </w:r>
          </w:p>
          <w:p w:rsidR="008725CD" w:rsidRDefault="00C530D4" w:rsidP="005A7D3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 intervention that is designed to o</w:t>
            </w:r>
            <w:r>
              <w:t>r likely to cause physical pain</w:t>
            </w:r>
            <w:r>
              <w:t>;</w:t>
            </w:r>
          </w:p>
          <w:p w:rsidR="008725CD" w:rsidRDefault="00C530D4" w:rsidP="005A7D3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 intervention that involves the directed release of a noxious, toxic, or otherwise unpleasant s</w:t>
            </w:r>
            <w:r>
              <w:t xml:space="preserve">pray, mist, or substance near </w:t>
            </w:r>
            <w:r>
              <w:t xml:space="preserve">a </w:t>
            </w:r>
            <w:r>
              <w:t>student's face;</w:t>
            </w:r>
          </w:p>
          <w:p w:rsidR="008725CD" w:rsidRDefault="00C530D4" w:rsidP="005A7D3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 intervention that denies adequate sleep, air, food, water, shelter, bedding, physical comfort, or access to a restroom facility;</w:t>
            </w:r>
          </w:p>
          <w:p w:rsidR="008725CD" w:rsidRDefault="00C530D4" w:rsidP="005A7D3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an intervention that involves subjecting </w:t>
            </w:r>
            <w:r>
              <w:t xml:space="preserve">a </w:t>
            </w:r>
            <w:r>
              <w:t>student to verbal abuse, ridicule</w:t>
            </w:r>
            <w:r>
              <w:t xml:space="preserve">, or humiliation or that can be expected to cause </w:t>
            </w:r>
            <w:r>
              <w:t xml:space="preserve">a </w:t>
            </w:r>
            <w:r>
              <w:t>student emotional trauma;</w:t>
            </w:r>
          </w:p>
          <w:p w:rsidR="008725CD" w:rsidRDefault="00C530D4" w:rsidP="005A7D3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restrictive intervention that employs a device, material, or object that simultaneously im</w:t>
            </w:r>
            <w:r>
              <w:t>mobilizes all four extremities</w:t>
            </w:r>
            <w:r>
              <w:t>;</w:t>
            </w:r>
          </w:p>
          <w:p w:rsidR="008725CD" w:rsidRDefault="00C530D4" w:rsidP="005A7D3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an intervention that impairs </w:t>
            </w:r>
            <w:r>
              <w:t xml:space="preserve">a </w:t>
            </w:r>
            <w:r>
              <w:t>student's breathing</w:t>
            </w:r>
            <w:r>
              <w:t>;</w:t>
            </w:r>
          </w:p>
          <w:p w:rsidR="008725CD" w:rsidRDefault="00C530D4" w:rsidP="005A7D3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</w:t>
            </w:r>
            <w:r>
              <w:t xml:space="preserve"> intervention that restricts </w:t>
            </w:r>
            <w:r>
              <w:t xml:space="preserve">a </w:t>
            </w:r>
            <w:r>
              <w:t>student's circulation;</w:t>
            </w:r>
          </w:p>
          <w:p w:rsidR="008725CD" w:rsidRDefault="00C530D4" w:rsidP="005A7D3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an intervention that secures </w:t>
            </w:r>
            <w:r>
              <w:t xml:space="preserve">a </w:t>
            </w:r>
            <w:r>
              <w:t>student to a stationary object while the student is in a sitting or standing position;</w:t>
            </w:r>
          </w:p>
          <w:p w:rsidR="008725CD" w:rsidRDefault="00C530D4" w:rsidP="005A7D3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an intervention that inhibits, reduces, or hinders </w:t>
            </w:r>
            <w:r>
              <w:t xml:space="preserve">a </w:t>
            </w:r>
            <w:r>
              <w:t>student's ability to communicat</w:t>
            </w:r>
            <w:r>
              <w:t>e;</w:t>
            </w:r>
          </w:p>
          <w:p w:rsidR="008725CD" w:rsidRDefault="00C530D4" w:rsidP="005A7D3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 intervention that involves the use of a chemical restraint;</w:t>
            </w:r>
          </w:p>
          <w:p w:rsidR="008725CD" w:rsidRDefault="00C530D4" w:rsidP="005A7D3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an intervention that prevents observation by a direct line of sight or otherwise precludes adequate supervision of </w:t>
            </w:r>
            <w:r>
              <w:t xml:space="preserve">a </w:t>
            </w:r>
            <w:r>
              <w:t xml:space="preserve">student; </w:t>
            </w:r>
            <w:r>
              <w:t>and</w:t>
            </w:r>
          </w:p>
          <w:p w:rsidR="008725CD" w:rsidRDefault="00C530D4" w:rsidP="005A7D3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an intervention that deprives </w:t>
            </w:r>
            <w:r>
              <w:t xml:space="preserve">a </w:t>
            </w:r>
            <w:r>
              <w:t>student of the use of one or</w:t>
            </w:r>
            <w:r>
              <w:t xml:space="preserve"> more of the student's senses.</w:t>
            </w:r>
          </w:p>
          <w:p w:rsidR="003C5F37" w:rsidRDefault="00C530D4" w:rsidP="005A7D33">
            <w:pPr>
              <w:pStyle w:val="Header"/>
              <w:spacing w:before="120" w:after="120"/>
              <w:jc w:val="both"/>
            </w:pPr>
          </w:p>
          <w:p w:rsidR="003C5F37" w:rsidRDefault="00C530D4" w:rsidP="005A7D33">
            <w:pPr>
              <w:pStyle w:val="Header"/>
              <w:spacing w:before="120" w:after="120"/>
              <w:jc w:val="both"/>
            </w:pPr>
            <w:r>
              <w:t>H.B. 3630 establishes that</w:t>
            </w:r>
            <w:r>
              <w:t xml:space="preserve"> an intervention that denies the student academic instruction by a certified educator constitutes an intervention that precludes adequate supervision. The bill requires the commissioner of education</w:t>
            </w:r>
            <w:r>
              <w:t xml:space="preserve">, in adopting procedures under </w:t>
            </w:r>
            <w:r>
              <w:t>the bill's provisions</w:t>
            </w:r>
            <w:r>
              <w:t xml:space="preserve">, to provide </w:t>
            </w:r>
            <w:r>
              <w:t xml:space="preserve">guidance to </w:t>
            </w:r>
            <w:r w:rsidRPr="003C5F37">
              <w:t>district employees, volunteers,</w:t>
            </w:r>
            <w:r>
              <w:t xml:space="preserve"> and independent contractors</w:t>
            </w:r>
            <w:r w:rsidRPr="003C5F37">
              <w:t xml:space="preserve"> in avoiding </w:t>
            </w:r>
            <w:r>
              <w:t>such prohibited conduct</w:t>
            </w:r>
            <w:r w:rsidRPr="003C5F37">
              <w:t>.</w:t>
            </w:r>
            <w:r>
              <w:t xml:space="preserve"> </w:t>
            </w:r>
            <w:r>
              <w:t>The bill applies beginning with the 2019-2020 school year.</w:t>
            </w:r>
          </w:p>
          <w:p w:rsidR="008423E4" w:rsidRPr="00835628" w:rsidRDefault="00C530D4" w:rsidP="005A7D33">
            <w:pPr>
              <w:rPr>
                <w:b/>
              </w:rPr>
            </w:pPr>
          </w:p>
        </w:tc>
      </w:tr>
      <w:tr w:rsidR="00522D4E" w:rsidTr="00345119">
        <w:tc>
          <w:tcPr>
            <w:tcW w:w="9576" w:type="dxa"/>
          </w:tcPr>
          <w:p w:rsidR="008423E4" w:rsidRPr="00A8133F" w:rsidRDefault="00C530D4" w:rsidP="005A7D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530D4" w:rsidP="005A7D33"/>
          <w:p w:rsidR="008423E4" w:rsidRPr="00233FDB" w:rsidRDefault="00C530D4" w:rsidP="005A7D3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</w:t>
            </w:r>
            <w:r>
              <w:t>assage, or, if the bill does not receive the necessary vote, September 1, 2019.</w:t>
            </w:r>
          </w:p>
        </w:tc>
      </w:tr>
    </w:tbl>
    <w:p w:rsidR="004108C3" w:rsidRPr="008423E4" w:rsidRDefault="00C530D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30D4">
      <w:r>
        <w:separator/>
      </w:r>
    </w:p>
  </w:endnote>
  <w:endnote w:type="continuationSeparator" w:id="0">
    <w:p w:rsidR="00000000" w:rsidRDefault="00C5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3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2D4E" w:rsidTr="009C1E9A">
      <w:trPr>
        <w:cantSplit/>
      </w:trPr>
      <w:tc>
        <w:tcPr>
          <w:tcW w:w="0" w:type="pct"/>
        </w:tcPr>
        <w:p w:rsidR="00137D90" w:rsidRDefault="00C530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530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530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530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530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2D4E" w:rsidTr="009C1E9A">
      <w:trPr>
        <w:cantSplit/>
      </w:trPr>
      <w:tc>
        <w:tcPr>
          <w:tcW w:w="0" w:type="pct"/>
        </w:tcPr>
        <w:p w:rsidR="00EC379B" w:rsidRDefault="00C530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530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28800</w:t>
          </w:r>
        </w:p>
      </w:tc>
      <w:tc>
        <w:tcPr>
          <w:tcW w:w="2453" w:type="pct"/>
        </w:tcPr>
        <w:p w:rsidR="00EC379B" w:rsidRDefault="00C530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19.109.524</w:t>
          </w:r>
          <w:r>
            <w:fldChar w:fldCharType="end"/>
          </w:r>
        </w:p>
      </w:tc>
    </w:tr>
    <w:tr w:rsidR="00522D4E" w:rsidTr="009C1E9A">
      <w:trPr>
        <w:cantSplit/>
      </w:trPr>
      <w:tc>
        <w:tcPr>
          <w:tcW w:w="0" w:type="pct"/>
        </w:tcPr>
        <w:p w:rsidR="00EC379B" w:rsidRDefault="00C530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530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530D4" w:rsidP="006D504F">
          <w:pPr>
            <w:pStyle w:val="Footer"/>
            <w:rPr>
              <w:rStyle w:val="PageNumber"/>
            </w:rPr>
          </w:pPr>
        </w:p>
        <w:p w:rsidR="00EC379B" w:rsidRDefault="00C530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2D4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530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530D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530D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3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30D4">
      <w:r>
        <w:separator/>
      </w:r>
    </w:p>
  </w:footnote>
  <w:footnote w:type="continuationSeparator" w:id="0">
    <w:p w:rsidR="00000000" w:rsidRDefault="00C5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3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30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3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0138"/>
    <w:multiLevelType w:val="hybridMultilevel"/>
    <w:tmpl w:val="F894DB46"/>
    <w:lvl w:ilvl="0" w:tplc="BD9CA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D20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32D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EA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47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E84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C2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89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962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4E"/>
    <w:rsid w:val="00522D4E"/>
    <w:rsid w:val="00C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4556B6-5C0B-455C-8268-7CB19836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B2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2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2F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2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2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2607</Characters>
  <Application>Microsoft Office Word</Application>
  <DocSecurity>4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HB03630 (Committee Report (Unamended))</vt:lpstr>
    </vt:vector>
  </TitlesOfParts>
  <Company>State of Texas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28800</dc:subject>
  <dc:creator>State of Texas</dc:creator>
  <dc:description>HB 3630 by Meyer-(H)Public Education</dc:description>
  <cp:lastModifiedBy>Scotty Wimberley</cp:lastModifiedBy>
  <cp:revision>2</cp:revision>
  <cp:lastPrinted>2003-11-26T17:21:00Z</cp:lastPrinted>
  <dcterms:created xsi:type="dcterms:W3CDTF">2019-04-24T01:29:00Z</dcterms:created>
  <dcterms:modified xsi:type="dcterms:W3CDTF">2019-04-24T01:29:00Z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19.109.524</vt:lpwstr>
  </property>
</Properties>
</file>