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54BD2" w:rsidTr="00345119">
        <w:tc>
          <w:tcPr>
            <w:tcW w:w="9576" w:type="dxa"/>
            <w:noWrap/>
          </w:tcPr>
          <w:p w:rsidR="008423E4" w:rsidRPr="0022177D" w:rsidRDefault="00AC1E88" w:rsidP="00345119">
            <w:pPr>
              <w:pStyle w:val="Heading1"/>
            </w:pPr>
            <w:bookmarkStart w:id="0" w:name="_GoBack"/>
            <w:bookmarkEnd w:id="0"/>
            <w:r w:rsidRPr="00631897">
              <w:t>BILL ANALYSIS</w:t>
            </w:r>
          </w:p>
        </w:tc>
      </w:tr>
    </w:tbl>
    <w:p w:rsidR="008423E4" w:rsidRPr="0022177D" w:rsidRDefault="00AC1E88" w:rsidP="008423E4">
      <w:pPr>
        <w:jc w:val="center"/>
      </w:pPr>
    </w:p>
    <w:p w:rsidR="008423E4" w:rsidRPr="00B31F0E" w:rsidRDefault="00AC1E88" w:rsidP="008423E4"/>
    <w:p w:rsidR="008423E4" w:rsidRPr="00742794" w:rsidRDefault="00AC1E88" w:rsidP="008423E4">
      <w:pPr>
        <w:tabs>
          <w:tab w:val="right" w:pos="9360"/>
        </w:tabs>
      </w:pPr>
    </w:p>
    <w:tbl>
      <w:tblPr>
        <w:tblW w:w="0" w:type="auto"/>
        <w:tblLayout w:type="fixed"/>
        <w:tblLook w:val="01E0" w:firstRow="1" w:lastRow="1" w:firstColumn="1" w:lastColumn="1" w:noHBand="0" w:noVBand="0"/>
      </w:tblPr>
      <w:tblGrid>
        <w:gridCol w:w="9576"/>
      </w:tblGrid>
      <w:tr w:rsidR="00D54BD2" w:rsidTr="00345119">
        <w:tc>
          <w:tcPr>
            <w:tcW w:w="9576" w:type="dxa"/>
          </w:tcPr>
          <w:p w:rsidR="008423E4" w:rsidRPr="00861995" w:rsidRDefault="00AC1E88" w:rsidP="00345119">
            <w:pPr>
              <w:jc w:val="right"/>
            </w:pPr>
            <w:r>
              <w:t>H.B. 3658</w:t>
            </w:r>
          </w:p>
        </w:tc>
      </w:tr>
      <w:tr w:rsidR="00D54BD2" w:rsidTr="00345119">
        <w:tc>
          <w:tcPr>
            <w:tcW w:w="9576" w:type="dxa"/>
          </w:tcPr>
          <w:p w:rsidR="008423E4" w:rsidRPr="00861995" w:rsidRDefault="00AC1E88" w:rsidP="008051E9">
            <w:pPr>
              <w:jc w:val="right"/>
            </w:pPr>
            <w:r>
              <w:t xml:space="preserve">By: </w:t>
            </w:r>
            <w:r>
              <w:t>Turner, Chris</w:t>
            </w:r>
          </w:p>
        </w:tc>
      </w:tr>
      <w:tr w:rsidR="00D54BD2" w:rsidTr="00345119">
        <w:tc>
          <w:tcPr>
            <w:tcW w:w="9576" w:type="dxa"/>
          </w:tcPr>
          <w:p w:rsidR="008423E4" w:rsidRPr="00861995" w:rsidRDefault="00AC1E88" w:rsidP="00345119">
            <w:pPr>
              <w:jc w:val="right"/>
            </w:pPr>
            <w:r>
              <w:t>Higher Education</w:t>
            </w:r>
          </w:p>
        </w:tc>
      </w:tr>
      <w:tr w:rsidR="00D54BD2" w:rsidTr="00345119">
        <w:tc>
          <w:tcPr>
            <w:tcW w:w="9576" w:type="dxa"/>
          </w:tcPr>
          <w:p w:rsidR="008423E4" w:rsidRDefault="00AC1E88" w:rsidP="00345119">
            <w:pPr>
              <w:jc w:val="right"/>
            </w:pPr>
            <w:r>
              <w:t>Committee Report (Unamended)</w:t>
            </w:r>
          </w:p>
        </w:tc>
      </w:tr>
    </w:tbl>
    <w:p w:rsidR="008423E4" w:rsidRDefault="00AC1E88" w:rsidP="008423E4">
      <w:pPr>
        <w:tabs>
          <w:tab w:val="right" w:pos="9360"/>
        </w:tabs>
      </w:pPr>
    </w:p>
    <w:p w:rsidR="008423E4" w:rsidRDefault="00AC1E88" w:rsidP="008423E4"/>
    <w:p w:rsidR="008423E4" w:rsidRDefault="00AC1E88" w:rsidP="008423E4"/>
    <w:tbl>
      <w:tblPr>
        <w:tblW w:w="0" w:type="auto"/>
        <w:tblCellMar>
          <w:left w:w="115" w:type="dxa"/>
          <w:right w:w="115" w:type="dxa"/>
        </w:tblCellMar>
        <w:tblLook w:val="01E0" w:firstRow="1" w:lastRow="1" w:firstColumn="1" w:lastColumn="1" w:noHBand="0" w:noVBand="0"/>
      </w:tblPr>
      <w:tblGrid>
        <w:gridCol w:w="9576"/>
      </w:tblGrid>
      <w:tr w:rsidR="00D54BD2" w:rsidTr="00345119">
        <w:tc>
          <w:tcPr>
            <w:tcW w:w="9576" w:type="dxa"/>
          </w:tcPr>
          <w:p w:rsidR="008423E4" w:rsidRPr="00A8133F" w:rsidRDefault="00AC1E88" w:rsidP="00611E36">
            <w:pPr>
              <w:rPr>
                <w:b/>
              </w:rPr>
            </w:pPr>
            <w:r w:rsidRPr="009C1E9A">
              <w:rPr>
                <w:b/>
                <w:u w:val="single"/>
              </w:rPr>
              <w:t>BACKGROUND AND PURPOSE</w:t>
            </w:r>
            <w:r>
              <w:rPr>
                <w:b/>
              </w:rPr>
              <w:t xml:space="preserve"> </w:t>
            </w:r>
          </w:p>
          <w:p w:rsidR="008423E4" w:rsidRDefault="00AC1E88" w:rsidP="00611E36"/>
          <w:p w:rsidR="008423E4" w:rsidRDefault="00AC1E88" w:rsidP="00611E36">
            <w:pPr>
              <w:pStyle w:val="Header"/>
              <w:jc w:val="both"/>
            </w:pPr>
            <w:r>
              <w:t xml:space="preserve">It has been </w:t>
            </w:r>
            <w:r>
              <w:t>noted</w:t>
            </w:r>
            <w:r>
              <w:t xml:space="preserve"> that young adults are especially susceptible to the dangers of drug and alcohol </w:t>
            </w:r>
            <w:r>
              <w:t>misuse and abuse</w:t>
            </w:r>
            <w:r>
              <w:t xml:space="preserve">, an overdose of </w:t>
            </w:r>
            <w:r>
              <w:t>which can lead to a me</w:t>
            </w:r>
            <w:r>
              <w:t>dical emergency</w:t>
            </w:r>
            <w:r>
              <w:t>. In such a case</w:t>
            </w:r>
            <w:r>
              <w:t xml:space="preserve">, initiating treatment as early as possible, even before emergency medical services arrive, </w:t>
            </w:r>
            <w:r>
              <w:t>can be the difference between life and death</w:t>
            </w:r>
            <w:r>
              <w:t>. S</w:t>
            </w:r>
            <w:r>
              <w:t>ome have suggested that college campuses have an obligation to p</w:t>
            </w:r>
            <w:r>
              <w:t xml:space="preserve">rovide education and resources to make young adults and campus employees aware of the dangers of drug and alcohol </w:t>
            </w:r>
            <w:r>
              <w:t xml:space="preserve">use </w:t>
            </w:r>
            <w:r>
              <w:t xml:space="preserve">and how to </w:t>
            </w:r>
            <w:r>
              <w:t xml:space="preserve">respond </w:t>
            </w:r>
            <w:r>
              <w:t xml:space="preserve">when an overdose occurs. </w:t>
            </w:r>
            <w:r>
              <w:t xml:space="preserve">To ensure that </w:t>
            </w:r>
            <w:r>
              <w:t>those most likely to witness an overdose, like residential advisors and student</w:t>
            </w:r>
            <w:r>
              <w:t xml:space="preserve"> organization leaders, are equipped to </w:t>
            </w:r>
            <w:r>
              <w:t>respond,</w:t>
            </w:r>
            <w:r>
              <w:t xml:space="preserve"> H.B. 365</w:t>
            </w:r>
            <w:r>
              <w:t>8</w:t>
            </w:r>
            <w:r>
              <w:t xml:space="preserve"> seeks to provide training on this matter for </w:t>
            </w:r>
            <w:r w:rsidRPr="00FB400B">
              <w:t>residential advisors and officers of student organizations</w:t>
            </w:r>
            <w:r>
              <w:t>.</w:t>
            </w:r>
          </w:p>
          <w:p w:rsidR="008423E4" w:rsidRPr="00E26B13" w:rsidRDefault="00AC1E88" w:rsidP="00611E36">
            <w:pPr>
              <w:rPr>
                <w:b/>
              </w:rPr>
            </w:pPr>
          </w:p>
        </w:tc>
      </w:tr>
      <w:tr w:rsidR="00D54BD2" w:rsidTr="00345119">
        <w:tc>
          <w:tcPr>
            <w:tcW w:w="9576" w:type="dxa"/>
          </w:tcPr>
          <w:p w:rsidR="0017725B" w:rsidRDefault="00AC1E88" w:rsidP="00611E36">
            <w:pPr>
              <w:rPr>
                <w:b/>
                <w:u w:val="single"/>
              </w:rPr>
            </w:pPr>
            <w:r>
              <w:rPr>
                <w:b/>
                <w:u w:val="single"/>
              </w:rPr>
              <w:t>CRIMINAL JUSTICE IMPACT</w:t>
            </w:r>
          </w:p>
          <w:p w:rsidR="0017725B" w:rsidRDefault="00AC1E88" w:rsidP="00611E36">
            <w:pPr>
              <w:rPr>
                <w:b/>
                <w:u w:val="single"/>
              </w:rPr>
            </w:pPr>
          </w:p>
          <w:p w:rsidR="00BF25BD" w:rsidRPr="00BF25BD" w:rsidRDefault="00AC1E88" w:rsidP="00611E36">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AC1E88" w:rsidP="00611E36">
            <w:pPr>
              <w:rPr>
                <w:b/>
                <w:u w:val="single"/>
              </w:rPr>
            </w:pPr>
          </w:p>
        </w:tc>
      </w:tr>
      <w:tr w:rsidR="00D54BD2" w:rsidTr="00345119">
        <w:tc>
          <w:tcPr>
            <w:tcW w:w="9576" w:type="dxa"/>
          </w:tcPr>
          <w:p w:rsidR="008423E4" w:rsidRPr="00A8133F" w:rsidRDefault="00AC1E88" w:rsidP="00611E36">
            <w:pPr>
              <w:rPr>
                <w:b/>
              </w:rPr>
            </w:pPr>
            <w:r w:rsidRPr="009C1E9A">
              <w:rPr>
                <w:b/>
                <w:u w:val="single"/>
              </w:rPr>
              <w:t>RULEMAKING AUTHORITY</w:t>
            </w:r>
            <w:r>
              <w:rPr>
                <w:b/>
              </w:rPr>
              <w:t xml:space="preserve"> </w:t>
            </w:r>
          </w:p>
          <w:p w:rsidR="008423E4" w:rsidRDefault="00AC1E88" w:rsidP="00611E36"/>
          <w:p w:rsidR="00BF25BD" w:rsidRDefault="00AC1E88" w:rsidP="00611E36">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AC1E88" w:rsidP="00611E36">
            <w:pPr>
              <w:rPr>
                <w:b/>
              </w:rPr>
            </w:pPr>
          </w:p>
        </w:tc>
      </w:tr>
      <w:tr w:rsidR="00D54BD2" w:rsidTr="00345119">
        <w:tc>
          <w:tcPr>
            <w:tcW w:w="9576" w:type="dxa"/>
          </w:tcPr>
          <w:p w:rsidR="008423E4" w:rsidRPr="00A8133F" w:rsidRDefault="00AC1E88" w:rsidP="00611E36">
            <w:pPr>
              <w:rPr>
                <w:b/>
              </w:rPr>
            </w:pPr>
            <w:r w:rsidRPr="009C1E9A">
              <w:rPr>
                <w:b/>
                <w:u w:val="single"/>
              </w:rPr>
              <w:t>ANALYSIS</w:t>
            </w:r>
            <w:r>
              <w:rPr>
                <w:b/>
              </w:rPr>
              <w:t xml:space="preserve"> </w:t>
            </w:r>
          </w:p>
          <w:p w:rsidR="008423E4" w:rsidRDefault="00AC1E88" w:rsidP="00611E36"/>
          <w:p w:rsidR="008423E4" w:rsidRDefault="00AC1E88" w:rsidP="00611E36">
            <w:pPr>
              <w:pStyle w:val="Header"/>
              <w:tabs>
                <w:tab w:val="clear" w:pos="4320"/>
                <w:tab w:val="clear" w:pos="8640"/>
              </w:tabs>
              <w:jc w:val="both"/>
            </w:pPr>
            <w:r>
              <w:t>H.B. 3658 amends the Education Code to require a public or private institution of higher education that</w:t>
            </w:r>
            <w:r>
              <w:t xml:space="preserve"> imposes any mandatory training requirements on residential advisors or officers of student organizations to ensure that drug and alcohol overdose awareness and appropriate response training is included with that training. The bill applies beginning with t</w:t>
            </w:r>
            <w:r>
              <w:t xml:space="preserve">raining required for the 2019-2020 academic year. </w:t>
            </w:r>
          </w:p>
          <w:p w:rsidR="008423E4" w:rsidRPr="00835628" w:rsidRDefault="00AC1E88" w:rsidP="00611E36">
            <w:pPr>
              <w:rPr>
                <w:b/>
              </w:rPr>
            </w:pPr>
          </w:p>
        </w:tc>
      </w:tr>
      <w:tr w:rsidR="00D54BD2" w:rsidTr="00345119">
        <w:tc>
          <w:tcPr>
            <w:tcW w:w="9576" w:type="dxa"/>
          </w:tcPr>
          <w:p w:rsidR="008423E4" w:rsidRPr="00A8133F" w:rsidRDefault="00AC1E88" w:rsidP="00611E36">
            <w:pPr>
              <w:rPr>
                <w:b/>
              </w:rPr>
            </w:pPr>
            <w:r w:rsidRPr="009C1E9A">
              <w:rPr>
                <w:b/>
                <w:u w:val="single"/>
              </w:rPr>
              <w:t>EFFECTIVE DATE</w:t>
            </w:r>
            <w:r>
              <w:rPr>
                <w:b/>
              </w:rPr>
              <w:t xml:space="preserve"> </w:t>
            </w:r>
          </w:p>
          <w:p w:rsidR="008423E4" w:rsidRDefault="00AC1E88" w:rsidP="00611E36"/>
          <w:p w:rsidR="008423E4" w:rsidRPr="003624F2" w:rsidRDefault="00AC1E88" w:rsidP="00611E36">
            <w:pPr>
              <w:pStyle w:val="Header"/>
              <w:tabs>
                <w:tab w:val="clear" w:pos="4320"/>
                <w:tab w:val="clear" w:pos="8640"/>
              </w:tabs>
              <w:jc w:val="both"/>
            </w:pPr>
            <w:r>
              <w:t>On passage, or, if the bill does not receive the necessary vote, September 1, 2019.</w:t>
            </w:r>
          </w:p>
          <w:p w:rsidR="008423E4" w:rsidRPr="00233FDB" w:rsidRDefault="00AC1E88" w:rsidP="00611E36">
            <w:pPr>
              <w:rPr>
                <w:b/>
              </w:rPr>
            </w:pPr>
          </w:p>
        </w:tc>
      </w:tr>
    </w:tbl>
    <w:p w:rsidR="008423E4" w:rsidRPr="00BE0E75" w:rsidRDefault="00AC1E88" w:rsidP="008423E4">
      <w:pPr>
        <w:spacing w:line="480" w:lineRule="auto"/>
        <w:jc w:val="both"/>
        <w:rPr>
          <w:rFonts w:ascii="Arial" w:hAnsi="Arial"/>
          <w:sz w:val="16"/>
          <w:szCs w:val="16"/>
        </w:rPr>
      </w:pPr>
    </w:p>
    <w:p w:rsidR="004108C3" w:rsidRPr="008423E4" w:rsidRDefault="00AC1E8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1E88">
      <w:r>
        <w:separator/>
      </w:r>
    </w:p>
  </w:endnote>
  <w:endnote w:type="continuationSeparator" w:id="0">
    <w:p w:rsidR="00000000" w:rsidRDefault="00AC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C1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4BD2" w:rsidTr="009C1E9A">
      <w:trPr>
        <w:cantSplit/>
      </w:trPr>
      <w:tc>
        <w:tcPr>
          <w:tcW w:w="0" w:type="pct"/>
        </w:tcPr>
        <w:p w:rsidR="00137D90" w:rsidRDefault="00AC1E88" w:rsidP="009C1E9A">
          <w:pPr>
            <w:pStyle w:val="Footer"/>
            <w:tabs>
              <w:tab w:val="clear" w:pos="8640"/>
              <w:tab w:val="right" w:pos="9360"/>
            </w:tabs>
          </w:pPr>
        </w:p>
      </w:tc>
      <w:tc>
        <w:tcPr>
          <w:tcW w:w="2395" w:type="pct"/>
        </w:tcPr>
        <w:p w:rsidR="00137D90" w:rsidRDefault="00AC1E88" w:rsidP="009C1E9A">
          <w:pPr>
            <w:pStyle w:val="Footer"/>
            <w:tabs>
              <w:tab w:val="clear" w:pos="8640"/>
              <w:tab w:val="right" w:pos="9360"/>
            </w:tabs>
          </w:pPr>
        </w:p>
        <w:p w:rsidR="001A4310" w:rsidRDefault="00AC1E88" w:rsidP="009C1E9A">
          <w:pPr>
            <w:pStyle w:val="Footer"/>
            <w:tabs>
              <w:tab w:val="clear" w:pos="8640"/>
              <w:tab w:val="right" w:pos="9360"/>
            </w:tabs>
          </w:pPr>
        </w:p>
        <w:p w:rsidR="00137D90" w:rsidRDefault="00AC1E88" w:rsidP="009C1E9A">
          <w:pPr>
            <w:pStyle w:val="Footer"/>
            <w:tabs>
              <w:tab w:val="clear" w:pos="8640"/>
              <w:tab w:val="right" w:pos="9360"/>
            </w:tabs>
          </w:pPr>
        </w:p>
      </w:tc>
      <w:tc>
        <w:tcPr>
          <w:tcW w:w="2453" w:type="pct"/>
        </w:tcPr>
        <w:p w:rsidR="00137D90" w:rsidRDefault="00AC1E88" w:rsidP="009C1E9A">
          <w:pPr>
            <w:pStyle w:val="Footer"/>
            <w:tabs>
              <w:tab w:val="clear" w:pos="8640"/>
              <w:tab w:val="right" w:pos="9360"/>
            </w:tabs>
            <w:jc w:val="right"/>
          </w:pPr>
        </w:p>
      </w:tc>
    </w:tr>
    <w:tr w:rsidR="00D54BD2" w:rsidTr="009C1E9A">
      <w:trPr>
        <w:cantSplit/>
      </w:trPr>
      <w:tc>
        <w:tcPr>
          <w:tcW w:w="0" w:type="pct"/>
        </w:tcPr>
        <w:p w:rsidR="00EC379B" w:rsidRDefault="00AC1E88" w:rsidP="009C1E9A">
          <w:pPr>
            <w:pStyle w:val="Footer"/>
            <w:tabs>
              <w:tab w:val="clear" w:pos="8640"/>
              <w:tab w:val="right" w:pos="9360"/>
            </w:tabs>
          </w:pPr>
        </w:p>
      </w:tc>
      <w:tc>
        <w:tcPr>
          <w:tcW w:w="2395" w:type="pct"/>
        </w:tcPr>
        <w:p w:rsidR="00EC379B" w:rsidRPr="009C1E9A" w:rsidRDefault="00AC1E88" w:rsidP="009C1E9A">
          <w:pPr>
            <w:pStyle w:val="Footer"/>
            <w:tabs>
              <w:tab w:val="clear" w:pos="8640"/>
              <w:tab w:val="right" w:pos="9360"/>
            </w:tabs>
            <w:rPr>
              <w:rFonts w:ascii="Shruti" w:hAnsi="Shruti"/>
              <w:sz w:val="22"/>
            </w:rPr>
          </w:pPr>
          <w:r>
            <w:rPr>
              <w:rFonts w:ascii="Shruti" w:hAnsi="Shruti"/>
              <w:sz w:val="22"/>
            </w:rPr>
            <w:t>86R 25085</w:t>
          </w:r>
        </w:p>
      </w:tc>
      <w:tc>
        <w:tcPr>
          <w:tcW w:w="2453" w:type="pct"/>
        </w:tcPr>
        <w:p w:rsidR="00EC379B" w:rsidRDefault="00AC1E88" w:rsidP="009C1E9A">
          <w:pPr>
            <w:pStyle w:val="Footer"/>
            <w:tabs>
              <w:tab w:val="clear" w:pos="8640"/>
              <w:tab w:val="right" w:pos="9360"/>
            </w:tabs>
            <w:jc w:val="right"/>
          </w:pPr>
          <w:r>
            <w:fldChar w:fldCharType="begin"/>
          </w:r>
          <w:r>
            <w:instrText xml:space="preserve"> DOCPROPERTY  OTID  \* MERGEFORMAT </w:instrText>
          </w:r>
          <w:r>
            <w:fldChar w:fldCharType="separate"/>
          </w:r>
          <w:r>
            <w:t>19.98.724</w:t>
          </w:r>
          <w:r>
            <w:fldChar w:fldCharType="end"/>
          </w:r>
        </w:p>
      </w:tc>
    </w:tr>
    <w:tr w:rsidR="00D54BD2" w:rsidTr="009C1E9A">
      <w:trPr>
        <w:cantSplit/>
      </w:trPr>
      <w:tc>
        <w:tcPr>
          <w:tcW w:w="0" w:type="pct"/>
        </w:tcPr>
        <w:p w:rsidR="00EC379B" w:rsidRDefault="00AC1E88" w:rsidP="009C1E9A">
          <w:pPr>
            <w:pStyle w:val="Footer"/>
            <w:tabs>
              <w:tab w:val="clear" w:pos="4320"/>
              <w:tab w:val="clear" w:pos="8640"/>
              <w:tab w:val="left" w:pos="2865"/>
            </w:tabs>
          </w:pPr>
        </w:p>
      </w:tc>
      <w:tc>
        <w:tcPr>
          <w:tcW w:w="2395" w:type="pct"/>
        </w:tcPr>
        <w:p w:rsidR="00EC379B" w:rsidRPr="009C1E9A" w:rsidRDefault="00AC1E88" w:rsidP="009C1E9A">
          <w:pPr>
            <w:pStyle w:val="Footer"/>
            <w:tabs>
              <w:tab w:val="clear" w:pos="4320"/>
              <w:tab w:val="clear" w:pos="8640"/>
              <w:tab w:val="left" w:pos="2865"/>
            </w:tabs>
            <w:rPr>
              <w:rFonts w:ascii="Shruti" w:hAnsi="Shruti"/>
              <w:sz w:val="22"/>
            </w:rPr>
          </w:pPr>
        </w:p>
      </w:tc>
      <w:tc>
        <w:tcPr>
          <w:tcW w:w="2453" w:type="pct"/>
        </w:tcPr>
        <w:p w:rsidR="00EC379B" w:rsidRDefault="00AC1E88" w:rsidP="006D504F">
          <w:pPr>
            <w:pStyle w:val="Footer"/>
            <w:rPr>
              <w:rStyle w:val="PageNumber"/>
            </w:rPr>
          </w:pPr>
        </w:p>
        <w:p w:rsidR="00EC379B" w:rsidRDefault="00AC1E88" w:rsidP="009C1E9A">
          <w:pPr>
            <w:pStyle w:val="Footer"/>
            <w:tabs>
              <w:tab w:val="clear" w:pos="8640"/>
              <w:tab w:val="right" w:pos="9360"/>
            </w:tabs>
            <w:jc w:val="right"/>
          </w:pPr>
        </w:p>
      </w:tc>
    </w:tr>
    <w:tr w:rsidR="00D54BD2" w:rsidTr="009C1E9A">
      <w:trPr>
        <w:cantSplit/>
        <w:trHeight w:val="323"/>
      </w:trPr>
      <w:tc>
        <w:tcPr>
          <w:tcW w:w="0" w:type="pct"/>
          <w:gridSpan w:val="3"/>
        </w:tcPr>
        <w:p w:rsidR="00EC379B" w:rsidRDefault="00AC1E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C1E88" w:rsidP="009C1E9A">
          <w:pPr>
            <w:pStyle w:val="Footer"/>
            <w:tabs>
              <w:tab w:val="clear" w:pos="8640"/>
              <w:tab w:val="right" w:pos="9360"/>
            </w:tabs>
            <w:jc w:val="center"/>
          </w:pPr>
        </w:p>
      </w:tc>
    </w:tr>
  </w:tbl>
  <w:p w:rsidR="00EC379B" w:rsidRPr="00FF6F72" w:rsidRDefault="00AC1E8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C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1E88">
      <w:r>
        <w:separator/>
      </w:r>
    </w:p>
  </w:footnote>
  <w:footnote w:type="continuationSeparator" w:id="0">
    <w:p w:rsidR="00000000" w:rsidRDefault="00AC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C1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C1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C1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D2"/>
    <w:rsid w:val="00AC1E88"/>
    <w:rsid w:val="00D5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03450-5FBB-420F-A9C8-9454302B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F25BD"/>
    <w:rPr>
      <w:sz w:val="16"/>
      <w:szCs w:val="16"/>
    </w:rPr>
  </w:style>
  <w:style w:type="paragraph" w:styleId="CommentText">
    <w:name w:val="annotation text"/>
    <w:basedOn w:val="Normal"/>
    <w:link w:val="CommentTextChar"/>
    <w:semiHidden/>
    <w:unhideWhenUsed/>
    <w:rsid w:val="00BF25BD"/>
    <w:rPr>
      <w:sz w:val="20"/>
      <w:szCs w:val="20"/>
    </w:rPr>
  </w:style>
  <w:style w:type="character" w:customStyle="1" w:styleId="CommentTextChar">
    <w:name w:val="Comment Text Char"/>
    <w:basedOn w:val="DefaultParagraphFont"/>
    <w:link w:val="CommentText"/>
    <w:semiHidden/>
    <w:rsid w:val="00BF25BD"/>
  </w:style>
  <w:style w:type="paragraph" w:styleId="CommentSubject">
    <w:name w:val="annotation subject"/>
    <w:basedOn w:val="CommentText"/>
    <w:next w:val="CommentText"/>
    <w:link w:val="CommentSubjectChar"/>
    <w:semiHidden/>
    <w:unhideWhenUsed/>
    <w:rsid w:val="00BF25BD"/>
    <w:rPr>
      <w:b/>
      <w:bCs/>
    </w:rPr>
  </w:style>
  <w:style w:type="character" w:customStyle="1" w:styleId="CommentSubjectChar">
    <w:name w:val="Comment Subject Char"/>
    <w:basedOn w:val="CommentTextChar"/>
    <w:link w:val="CommentSubject"/>
    <w:semiHidden/>
    <w:rsid w:val="00BF2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1621</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HB03658 (Committee Report (Unamended))</vt:lpstr>
    </vt:vector>
  </TitlesOfParts>
  <Company>State of Texas</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25085</dc:subject>
  <dc:creator>State of Texas</dc:creator>
  <dc:description>HB 3658 by Turner, Chris-(H)Higher Education</dc:description>
  <cp:lastModifiedBy>Stacey Nicchio</cp:lastModifiedBy>
  <cp:revision>2</cp:revision>
  <cp:lastPrinted>2003-11-26T17:21:00Z</cp:lastPrinted>
  <dcterms:created xsi:type="dcterms:W3CDTF">2019-04-17T01:33:00Z</dcterms:created>
  <dcterms:modified xsi:type="dcterms:W3CDTF">2019-04-17T01:33:00Z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19.98.724</vt:lpwstr>
  </property>
</Properties>
</file>