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7419" w:rsidTr="00345119">
        <w:tc>
          <w:tcPr>
            <w:tcW w:w="9576" w:type="dxa"/>
            <w:noWrap/>
          </w:tcPr>
          <w:p w:rsidR="008423E4" w:rsidRPr="0022177D" w:rsidRDefault="007F52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52DB" w:rsidP="008423E4">
      <w:pPr>
        <w:jc w:val="center"/>
      </w:pPr>
    </w:p>
    <w:p w:rsidR="008423E4" w:rsidRPr="00B31F0E" w:rsidRDefault="007F52DB" w:rsidP="008423E4"/>
    <w:p w:rsidR="008423E4" w:rsidRPr="00742794" w:rsidRDefault="007F52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7419" w:rsidTr="00345119">
        <w:tc>
          <w:tcPr>
            <w:tcW w:w="9576" w:type="dxa"/>
          </w:tcPr>
          <w:p w:rsidR="008423E4" w:rsidRPr="00861995" w:rsidRDefault="007F52DB" w:rsidP="00345119">
            <w:pPr>
              <w:jc w:val="right"/>
            </w:pPr>
            <w:r>
              <w:t>C.S.H.B. 3685</w:t>
            </w:r>
          </w:p>
        </w:tc>
      </w:tr>
      <w:tr w:rsidR="00BD7419" w:rsidTr="00345119">
        <w:tc>
          <w:tcPr>
            <w:tcW w:w="9576" w:type="dxa"/>
          </w:tcPr>
          <w:p w:rsidR="008423E4" w:rsidRPr="00861995" w:rsidRDefault="007F52DB" w:rsidP="002244C1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BD7419" w:rsidTr="00345119">
        <w:tc>
          <w:tcPr>
            <w:tcW w:w="9576" w:type="dxa"/>
          </w:tcPr>
          <w:p w:rsidR="008423E4" w:rsidRPr="00861995" w:rsidRDefault="007F52DB" w:rsidP="00345119">
            <w:pPr>
              <w:jc w:val="right"/>
            </w:pPr>
            <w:r>
              <w:t>Public Health</w:t>
            </w:r>
          </w:p>
        </w:tc>
      </w:tr>
      <w:tr w:rsidR="00BD7419" w:rsidTr="00345119">
        <w:tc>
          <w:tcPr>
            <w:tcW w:w="9576" w:type="dxa"/>
          </w:tcPr>
          <w:p w:rsidR="008423E4" w:rsidRDefault="007F52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F52DB" w:rsidP="008423E4">
      <w:pPr>
        <w:tabs>
          <w:tab w:val="right" w:pos="9360"/>
        </w:tabs>
      </w:pPr>
    </w:p>
    <w:p w:rsidR="008423E4" w:rsidRDefault="007F52DB" w:rsidP="008423E4"/>
    <w:p w:rsidR="008423E4" w:rsidRDefault="007F52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7419" w:rsidTr="00345119">
        <w:tc>
          <w:tcPr>
            <w:tcW w:w="9576" w:type="dxa"/>
          </w:tcPr>
          <w:p w:rsidR="008423E4" w:rsidRPr="00A8133F" w:rsidRDefault="007F52DB" w:rsidP="001B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91D2A" w:rsidRDefault="007F52DB" w:rsidP="001B4F2B">
            <w:pPr>
              <w:rPr>
                <w:sz w:val="20"/>
              </w:rPr>
            </w:pPr>
          </w:p>
          <w:p w:rsidR="008423E4" w:rsidRDefault="007F52DB" w:rsidP="001B4F2B">
            <w:pPr>
              <w:pStyle w:val="Header"/>
              <w:jc w:val="both"/>
            </w:pPr>
            <w:r>
              <w:t xml:space="preserve">It has been noted that </w:t>
            </w:r>
            <w:r>
              <w:t>certain drugs on the centralized Medicaid formulary may require prior authorization</w:t>
            </w:r>
            <w:r>
              <w:t xml:space="preserve"> and that p</w:t>
            </w:r>
            <w:r>
              <w:t xml:space="preserve">harmacy prior authorization services for Medicaid enrollees are administered by the managed care organization. </w:t>
            </w:r>
            <w:r>
              <w:t>There are concerns that the ability for</w:t>
            </w:r>
            <w:r>
              <w:t xml:space="preserve"> managed care organizations and pharmacy benefit managers </w:t>
            </w:r>
            <w:r>
              <w:t xml:space="preserve">to </w:t>
            </w:r>
            <w:r>
              <w:t>add their own clinical edits, clinical author</w:t>
            </w:r>
            <w:r>
              <w:t xml:space="preserve">izations, cost ceilings, and other additional requirements causes unnecessary and harmful denials </w:t>
            </w:r>
            <w:r>
              <w:t xml:space="preserve">of </w:t>
            </w:r>
            <w:r>
              <w:t xml:space="preserve">medications </w:t>
            </w:r>
            <w:r>
              <w:t xml:space="preserve">and delays access </w:t>
            </w:r>
            <w:r>
              <w:t xml:space="preserve">to </w:t>
            </w:r>
            <w:r>
              <w:t xml:space="preserve">medications that could be administered at home or in an outpatient setting. </w:t>
            </w:r>
            <w:r>
              <w:t>C.S.</w:t>
            </w:r>
            <w:r>
              <w:t>H.B. 3685 seeks to address this issue by p</w:t>
            </w:r>
            <w:r>
              <w:t xml:space="preserve">roviding requirements for </w:t>
            </w:r>
            <w:r w:rsidRPr="007857CC">
              <w:t>managed care organization</w:t>
            </w:r>
            <w:r>
              <w:t>s</w:t>
            </w:r>
            <w:r w:rsidRPr="007857CC">
              <w:t xml:space="preserve"> or pharmacy benefit manager</w:t>
            </w:r>
            <w:r>
              <w:t xml:space="preserve">s in relation to certain pharmacy benefits provided </w:t>
            </w:r>
            <w:r>
              <w:t xml:space="preserve">to certain children </w:t>
            </w:r>
            <w:r>
              <w:t>through Medicaid</w:t>
            </w:r>
            <w:r>
              <w:t>.</w:t>
            </w:r>
          </w:p>
          <w:p w:rsidR="008423E4" w:rsidRPr="00791D2A" w:rsidRDefault="007F52DB" w:rsidP="001B4F2B">
            <w:pPr>
              <w:rPr>
                <w:b/>
                <w:sz w:val="20"/>
              </w:rPr>
            </w:pPr>
          </w:p>
        </w:tc>
      </w:tr>
      <w:tr w:rsidR="00BD7419" w:rsidTr="00345119">
        <w:tc>
          <w:tcPr>
            <w:tcW w:w="9576" w:type="dxa"/>
          </w:tcPr>
          <w:p w:rsidR="0017725B" w:rsidRDefault="007F52DB" w:rsidP="001B4F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91D2A" w:rsidRDefault="007F52DB" w:rsidP="001B4F2B">
            <w:pPr>
              <w:rPr>
                <w:b/>
                <w:sz w:val="20"/>
                <w:u w:val="single"/>
              </w:rPr>
            </w:pPr>
          </w:p>
          <w:p w:rsidR="00341E7A" w:rsidRPr="00341E7A" w:rsidRDefault="007F52DB" w:rsidP="001B4F2B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791D2A" w:rsidRDefault="007F52DB" w:rsidP="001B4F2B">
            <w:pPr>
              <w:rPr>
                <w:b/>
                <w:sz w:val="20"/>
                <w:u w:val="single"/>
              </w:rPr>
            </w:pPr>
          </w:p>
        </w:tc>
      </w:tr>
      <w:tr w:rsidR="00BD7419" w:rsidTr="00345119">
        <w:tc>
          <w:tcPr>
            <w:tcW w:w="9576" w:type="dxa"/>
          </w:tcPr>
          <w:p w:rsidR="008423E4" w:rsidRPr="00A8133F" w:rsidRDefault="007F52DB" w:rsidP="001B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91D2A" w:rsidRDefault="007F52DB" w:rsidP="001B4F2B">
            <w:pPr>
              <w:rPr>
                <w:sz w:val="20"/>
              </w:rPr>
            </w:pPr>
          </w:p>
          <w:p w:rsidR="00341E7A" w:rsidRDefault="007F52DB" w:rsidP="001B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791D2A" w:rsidRDefault="007F52DB" w:rsidP="001B4F2B">
            <w:pPr>
              <w:rPr>
                <w:b/>
                <w:sz w:val="20"/>
              </w:rPr>
            </w:pPr>
          </w:p>
        </w:tc>
      </w:tr>
      <w:tr w:rsidR="00BD7419" w:rsidTr="00345119">
        <w:tc>
          <w:tcPr>
            <w:tcW w:w="9576" w:type="dxa"/>
          </w:tcPr>
          <w:p w:rsidR="008423E4" w:rsidRPr="00A8133F" w:rsidRDefault="007F52DB" w:rsidP="001B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91D2A" w:rsidRDefault="007F52DB" w:rsidP="001B4F2B">
            <w:pPr>
              <w:rPr>
                <w:sz w:val="20"/>
              </w:rPr>
            </w:pPr>
          </w:p>
          <w:p w:rsidR="00106041" w:rsidRDefault="007F52DB" w:rsidP="001B4F2B">
            <w:pPr>
              <w:pStyle w:val="Header"/>
              <w:jc w:val="both"/>
            </w:pPr>
            <w:r>
              <w:t>C.S.</w:t>
            </w:r>
            <w:r>
              <w:t xml:space="preserve">H.B. 3685 amends the </w:t>
            </w:r>
            <w:r w:rsidRPr="00341E7A">
              <w:t>Government Code</w:t>
            </w:r>
            <w:r>
              <w:t xml:space="preserve"> to </w:t>
            </w:r>
            <w:r>
              <w:t xml:space="preserve">revise the required contents of </w:t>
            </w:r>
            <w:r>
              <w:t>the</w:t>
            </w:r>
            <w:r>
              <w:t xml:space="preserve"> Medicaid ma</w:t>
            </w:r>
            <w:r>
              <w:t>naged care</w:t>
            </w:r>
            <w:r>
              <w:t xml:space="preserve"> </w:t>
            </w:r>
            <w:r w:rsidRPr="00341E7A">
              <w:t>contract between a man</w:t>
            </w:r>
            <w:r>
              <w:t>aged care organization</w:t>
            </w:r>
            <w:r>
              <w:t xml:space="preserve"> (MCO)</w:t>
            </w:r>
            <w:r>
              <w:t xml:space="preserve"> and the Health and Human Services C</w:t>
            </w:r>
            <w:r w:rsidRPr="00341E7A">
              <w:t xml:space="preserve">ommission </w:t>
            </w:r>
            <w:r>
              <w:t xml:space="preserve">(HHSC) </w:t>
            </w:r>
            <w:r>
              <w:t xml:space="preserve">to provide that, as part of the </w:t>
            </w:r>
            <w:r>
              <w:t xml:space="preserve">required </w:t>
            </w:r>
            <w:r>
              <w:t>o</w:t>
            </w:r>
            <w:r w:rsidRPr="00723E03">
              <w:t>utpatient pharmacy benefit plan</w:t>
            </w:r>
            <w:r>
              <w:t xml:space="preserve"> provided by the MCO </w:t>
            </w:r>
            <w:r>
              <w:t>as part of the contract,</w:t>
            </w:r>
            <w:r>
              <w:t xml:space="preserve"> the </w:t>
            </w:r>
            <w:r>
              <w:t>MCO</w:t>
            </w:r>
            <w:r>
              <w:t xml:space="preserve"> or pharmacy ben</w:t>
            </w:r>
            <w:r>
              <w:t>efit manager, as applicable</w:t>
            </w:r>
            <w:r>
              <w:t>:</w:t>
            </w:r>
            <w:r>
              <w:t xml:space="preserve"> </w:t>
            </w:r>
          </w:p>
          <w:p w:rsidR="00106041" w:rsidRDefault="007F52DB" w:rsidP="001B4F2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prohibited from</w:t>
            </w:r>
            <w:r>
              <w:t xml:space="preserve"> requir</w:t>
            </w:r>
            <w:r>
              <w:t>ing</w:t>
            </w:r>
            <w:r>
              <w:t xml:space="preserve"> a prior authorization, other than a clinical prior authorization</w:t>
            </w:r>
            <w:r>
              <w:t xml:space="preserve"> imposed under the </w:t>
            </w:r>
            <w:r>
              <w:t xml:space="preserve">Medicaid </w:t>
            </w:r>
            <w:r>
              <w:t>vendor drug program</w:t>
            </w:r>
            <w:r>
              <w:t>, for or impos</w:t>
            </w:r>
            <w:r>
              <w:t>ing</w:t>
            </w:r>
            <w:r>
              <w:t xml:space="preserve"> any other barriers to a drug that is prescribed to a medically fragi</w:t>
            </w:r>
            <w:r>
              <w:t>le child for a particular disease or treatment and that is on the vendor drug program formulary, regardless of whether the drug is included in the preferred drug list adopted by HHSC</w:t>
            </w:r>
            <w:r>
              <w:t xml:space="preserve"> or prescribed for an off-label use</w:t>
            </w:r>
            <w:r>
              <w:t xml:space="preserve">; </w:t>
            </w:r>
          </w:p>
          <w:p w:rsidR="00106041" w:rsidRDefault="007F52DB" w:rsidP="001B4F2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is required to </w:t>
            </w:r>
            <w:r>
              <w:t>provide for continued</w:t>
            </w:r>
            <w:r>
              <w:t xml:space="preserve"> access to a drug prescribed to a child enrolled in the STAR Kids managed care program, regardless of whether the drug is on </w:t>
            </w:r>
            <w:r>
              <w:t>an applicable</w:t>
            </w:r>
            <w:r>
              <w:t xml:space="preserve"> formulary; </w:t>
            </w:r>
          </w:p>
          <w:p w:rsidR="00106041" w:rsidRDefault="007F52DB" w:rsidP="001B4F2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prohibited from</w:t>
            </w:r>
            <w:r>
              <w:t xml:space="preserve"> us</w:t>
            </w:r>
            <w:r>
              <w:t>ing</w:t>
            </w:r>
            <w:r>
              <w:t xml:space="preserve"> a protocol that requires a child enrolled in the STAR Kids managed care program </w:t>
            </w:r>
            <w:r>
              <w:t xml:space="preserve">to use a prescription drug or sequence of prescription drugs other than the drug that the child's physician recommends for the child's treatment before the </w:t>
            </w:r>
            <w:r>
              <w:t>MCO</w:t>
            </w:r>
            <w:r>
              <w:t xml:space="preserve"> provides coverage for the recommended drug; and </w:t>
            </w:r>
          </w:p>
          <w:p w:rsidR="008423E4" w:rsidRDefault="007F52DB" w:rsidP="001B4F2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is required to </w:t>
            </w:r>
            <w:r>
              <w:t xml:space="preserve">pay liquidated damages to </w:t>
            </w:r>
            <w:r>
              <w:t>HHSC</w:t>
            </w:r>
            <w:r>
              <w:t xml:space="preserve"> for each failure, as determined by </w:t>
            </w:r>
            <w:r>
              <w:t>HHSC</w:t>
            </w:r>
            <w:r>
              <w:t xml:space="preserve">, to comply with </w:t>
            </w:r>
            <w:r>
              <w:t>these provisions</w:t>
            </w:r>
            <w:r>
              <w:t xml:space="preserve"> in an amount that is a reasonable forecast of the damages caused by the noncompliance.  </w:t>
            </w:r>
          </w:p>
          <w:p w:rsidR="008423E4" w:rsidRPr="00835628" w:rsidRDefault="007F52DB" w:rsidP="001B4F2B">
            <w:pPr>
              <w:rPr>
                <w:b/>
              </w:rPr>
            </w:pPr>
          </w:p>
        </w:tc>
      </w:tr>
      <w:tr w:rsidR="00BD7419" w:rsidTr="00345119">
        <w:tc>
          <w:tcPr>
            <w:tcW w:w="9576" w:type="dxa"/>
          </w:tcPr>
          <w:p w:rsidR="008423E4" w:rsidRPr="00A8133F" w:rsidRDefault="007F52DB" w:rsidP="001B4F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52DB" w:rsidP="001B4F2B"/>
          <w:p w:rsidR="008423E4" w:rsidRPr="003624F2" w:rsidRDefault="007F52DB" w:rsidP="001B4F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81182">
              <w:t>September 1, 2019.</w:t>
            </w:r>
          </w:p>
          <w:p w:rsidR="008423E4" w:rsidRPr="00233FDB" w:rsidRDefault="007F52DB" w:rsidP="001B4F2B">
            <w:pPr>
              <w:rPr>
                <w:b/>
              </w:rPr>
            </w:pPr>
          </w:p>
        </w:tc>
      </w:tr>
      <w:tr w:rsidR="00BD7419" w:rsidTr="00345119">
        <w:tc>
          <w:tcPr>
            <w:tcW w:w="9576" w:type="dxa"/>
          </w:tcPr>
          <w:p w:rsidR="002244C1" w:rsidRDefault="007F52DB" w:rsidP="001B4F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F6B6D" w:rsidRDefault="007F52DB" w:rsidP="001B4F2B">
            <w:pPr>
              <w:jc w:val="both"/>
            </w:pPr>
          </w:p>
          <w:p w:rsidR="00AF6B6D" w:rsidRDefault="007F52DB" w:rsidP="001B4F2B">
            <w:pPr>
              <w:jc w:val="both"/>
            </w:pPr>
            <w:r>
              <w:t>While C.S.H.B.</w:t>
            </w:r>
            <w:r>
              <w:t xml:space="preserve"> 3685 may differ from the original in minor or nonsubstantive ways, the following summarizes the substantial differences between the introduced and committee substitute versions of the bill.</w:t>
            </w:r>
          </w:p>
          <w:p w:rsidR="00AF6B6D" w:rsidRDefault="007F52DB" w:rsidP="001B4F2B">
            <w:pPr>
              <w:jc w:val="both"/>
            </w:pPr>
          </w:p>
          <w:p w:rsidR="00575579" w:rsidRDefault="007F52DB" w:rsidP="001B4F2B">
            <w:pPr>
              <w:jc w:val="both"/>
            </w:pPr>
            <w:r>
              <w:t>The substitute revises the prohibition against the MCO requiring</w:t>
            </w:r>
            <w:r>
              <w:t xml:space="preserve"> a prior authorization </w:t>
            </w:r>
            <w:r w:rsidRPr="00575579">
              <w:t>for or impos</w:t>
            </w:r>
            <w:r>
              <w:t>ing</w:t>
            </w:r>
            <w:r w:rsidRPr="00575579">
              <w:t xml:space="preserve"> any other barriers to a drug that is prescribed to a medically fragile child for a particular disease or treatment and that is on the </w:t>
            </w:r>
            <w:r>
              <w:t xml:space="preserve">Medicaid </w:t>
            </w:r>
            <w:r w:rsidRPr="00575579">
              <w:t>vendor drug program formulary</w:t>
            </w:r>
            <w:r>
              <w:t xml:space="preserve"> to:</w:t>
            </w:r>
            <w:r w:rsidRPr="00575579">
              <w:t xml:space="preserve"> </w:t>
            </w:r>
          </w:p>
          <w:p w:rsidR="00575579" w:rsidRDefault="007F52DB" w:rsidP="001B4F2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limit the clinical prior authorizations</w:t>
            </w:r>
            <w:r>
              <w:t xml:space="preserve"> excepted from the prohibition to those imposed under the vendor drug program; and</w:t>
            </w:r>
          </w:p>
          <w:p w:rsidR="00AF6B6D" w:rsidRDefault="007F52DB" w:rsidP="001B4F2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clarify that a drug prescribed for an off-label use is included among those subject to the prohibition.</w:t>
            </w:r>
          </w:p>
          <w:p w:rsidR="00AF6B6D" w:rsidRPr="00AF6B6D" w:rsidRDefault="007F52DB" w:rsidP="001B4F2B">
            <w:pPr>
              <w:jc w:val="both"/>
            </w:pPr>
          </w:p>
        </w:tc>
      </w:tr>
      <w:tr w:rsidR="00BD7419" w:rsidTr="00345119">
        <w:tc>
          <w:tcPr>
            <w:tcW w:w="9576" w:type="dxa"/>
          </w:tcPr>
          <w:p w:rsidR="002244C1" w:rsidRPr="009C1E9A" w:rsidRDefault="007F52DB" w:rsidP="001B4F2B">
            <w:pPr>
              <w:rPr>
                <w:b/>
                <w:u w:val="single"/>
              </w:rPr>
            </w:pPr>
          </w:p>
        </w:tc>
      </w:tr>
      <w:tr w:rsidR="00BD7419" w:rsidTr="00345119">
        <w:tc>
          <w:tcPr>
            <w:tcW w:w="9576" w:type="dxa"/>
          </w:tcPr>
          <w:p w:rsidR="002244C1" w:rsidRPr="002244C1" w:rsidRDefault="007F52DB" w:rsidP="001B4F2B">
            <w:pPr>
              <w:jc w:val="both"/>
            </w:pPr>
          </w:p>
        </w:tc>
      </w:tr>
    </w:tbl>
    <w:p w:rsidR="008423E4" w:rsidRPr="00BE0E75" w:rsidRDefault="007F52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52D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52DB">
      <w:r>
        <w:separator/>
      </w:r>
    </w:p>
  </w:endnote>
  <w:endnote w:type="continuationSeparator" w:id="0">
    <w:p w:rsidR="00000000" w:rsidRDefault="007F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7419" w:rsidTr="009C1E9A">
      <w:trPr>
        <w:cantSplit/>
      </w:trPr>
      <w:tc>
        <w:tcPr>
          <w:tcW w:w="0" w:type="pct"/>
        </w:tcPr>
        <w:p w:rsidR="00137D90" w:rsidRDefault="007F5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5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52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5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5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7419" w:rsidTr="009C1E9A">
      <w:trPr>
        <w:cantSplit/>
      </w:trPr>
      <w:tc>
        <w:tcPr>
          <w:tcW w:w="0" w:type="pct"/>
        </w:tcPr>
        <w:p w:rsidR="00EC379B" w:rsidRDefault="007F52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52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30664</w:t>
          </w:r>
        </w:p>
      </w:tc>
      <w:tc>
        <w:tcPr>
          <w:tcW w:w="2453" w:type="pct"/>
        </w:tcPr>
        <w:p w:rsidR="00EC379B" w:rsidRDefault="007F5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19.120.721</w:t>
          </w:r>
          <w:r>
            <w:fldChar w:fldCharType="end"/>
          </w:r>
        </w:p>
      </w:tc>
    </w:tr>
    <w:tr w:rsidR="00BD7419" w:rsidTr="009C1E9A">
      <w:trPr>
        <w:cantSplit/>
      </w:trPr>
      <w:tc>
        <w:tcPr>
          <w:tcW w:w="0" w:type="pct"/>
        </w:tcPr>
        <w:p w:rsidR="00EC379B" w:rsidRDefault="007F5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52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22207</w:t>
          </w:r>
        </w:p>
      </w:tc>
      <w:tc>
        <w:tcPr>
          <w:tcW w:w="2453" w:type="pct"/>
        </w:tcPr>
        <w:p w:rsidR="00EC379B" w:rsidRDefault="007F52DB" w:rsidP="006D504F">
          <w:pPr>
            <w:pStyle w:val="Footer"/>
            <w:rPr>
              <w:rStyle w:val="PageNumber"/>
            </w:rPr>
          </w:pPr>
        </w:p>
        <w:p w:rsidR="00EC379B" w:rsidRDefault="007F52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74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52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F52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52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52DB">
      <w:r>
        <w:separator/>
      </w:r>
    </w:p>
  </w:footnote>
  <w:footnote w:type="continuationSeparator" w:id="0">
    <w:p w:rsidR="00000000" w:rsidRDefault="007F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5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52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2E9"/>
    <w:multiLevelType w:val="hybridMultilevel"/>
    <w:tmpl w:val="0E96F2DE"/>
    <w:lvl w:ilvl="0" w:tplc="58E48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29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87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07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62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4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2A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20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5C2"/>
    <w:multiLevelType w:val="hybridMultilevel"/>
    <w:tmpl w:val="3CDA006A"/>
    <w:lvl w:ilvl="0" w:tplc="0FB26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9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4E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00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A6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6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4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6A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0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19"/>
    <w:rsid w:val="007F52DB"/>
    <w:rsid w:val="00B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87A0B-667D-484C-B01A-5334438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1E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E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E7A"/>
    <w:rPr>
      <w:b/>
      <w:bCs/>
    </w:rPr>
  </w:style>
  <w:style w:type="paragraph" w:styleId="ListParagraph">
    <w:name w:val="List Paragraph"/>
    <w:basedOn w:val="Normal"/>
    <w:uiPriority w:val="34"/>
    <w:qFormat/>
    <w:rsid w:val="0057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3143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HB03685 (Committee Report (Substituted))</vt:lpstr>
    </vt:vector>
  </TitlesOfParts>
  <Company>State of Texas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30664</dc:subject>
  <dc:creator>State of Texas</dc:creator>
  <dc:description>HB 3685 by Oliverson-(H)Public Health (Substitute Document Number: 86R 22207)</dc:description>
  <cp:lastModifiedBy>Scotty Wimberley</cp:lastModifiedBy>
  <cp:revision>2</cp:revision>
  <cp:lastPrinted>2003-11-26T17:21:00Z</cp:lastPrinted>
  <dcterms:created xsi:type="dcterms:W3CDTF">2019-05-01T18:10:00Z</dcterms:created>
  <dcterms:modified xsi:type="dcterms:W3CDTF">2019-05-01T18:10:00Z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19.120.721</vt:lpwstr>
  </property>
</Properties>
</file>