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A669D" w:rsidTr="00345119">
        <w:tc>
          <w:tcPr>
            <w:tcW w:w="9576" w:type="dxa"/>
            <w:noWrap/>
          </w:tcPr>
          <w:p w:rsidR="008423E4" w:rsidRPr="0022177D" w:rsidRDefault="00500B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0BE4" w:rsidP="008423E4">
      <w:pPr>
        <w:jc w:val="center"/>
      </w:pPr>
    </w:p>
    <w:p w:rsidR="008423E4" w:rsidRPr="00B31F0E" w:rsidRDefault="00500BE4" w:rsidP="008423E4"/>
    <w:p w:rsidR="008423E4" w:rsidRPr="00742794" w:rsidRDefault="00500B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A669D" w:rsidTr="00345119">
        <w:tc>
          <w:tcPr>
            <w:tcW w:w="9576" w:type="dxa"/>
          </w:tcPr>
          <w:p w:rsidR="008423E4" w:rsidRPr="00861995" w:rsidRDefault="00500BE4" w:rsidP="00345119">
            <w:pPr>
              <w:jc w:val="right"/>
            </w:pPr>
            <w:r>
              <w:t>C.S.H.B. 3703</w:t>
            </w:r>
          </w:p>
        </w:tc>
      </w:tr>
      <w:tr w:rsidR="008A669D" w:rsidTr="00345119">
        <w:tc>
          <w:tcPr>
            <w:tcW w:w="9576" w:type="dxa"/>
          </w:tcPr>
          <w:p w:rsidR="008423E4" w:rsidRPr="00861995" w:rsidRDefault="00500BE4" w:rsidP="009C5D75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8A669D" w:rsidTr="00345119">
        <w:tc>
          <w:tcPr>
            <w:tcW w:w="9576" w:type="dxa"/>
          </w:tcPr>
          <w:p w:rsidR="008423E4" w:rsidRPr="00861995" w:rsidRDefault="00500BE4" w:rsidP="00345119">
            <w:pPr>
              <w:jc w:val="right"/>
            </w:pPr>
            <w:r>
              <w:t>Public Health</w:t>
            </w:r>
          </w:p>
        </w:tc>
      </w:tr>
      <w:tr w:rsidR="008A669D" w:rsidTr="00345119">
        <w:tc>
          <w:tcPr>
            <w:tcW w:w="9576" w:type="dxa"/>
          </w:tcPr>
          <w:p w:rsidR="008423E4" w:rsidRDefault="00500BE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00BE4" w:rsidP="008423E4">
      <w:pPr>
        <w:tabs>
          <w:tab w:val="right" w:pos="9360"/>
        </w:tabs>
      </w:pPr>
    </w:p>
    <w:p w:rsidR="008423E4" w:rsidRDefault="00500BE4" w:rsidP="008423E4"/>
    <w:p w:rsidR="008423E4" w:rsidRDefault="00500B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A669D" w:rsidTr="00345119">
        <w:tc>
          <w:tcPr>
            <w:tcW w:w="9576" w:type="dxa"/>
          </w:tcPr>
          <w:p w:rsidR="008423E4" w:rsidRPr="00A8133F" w:rsidRDefault="00500BE4" w:rsidP="00D357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0BE4" w:rsidP="00D357DF"/>
          <w:p w:rsidR="008423E4" w:rsidRDefault="00500BE4" w:rsidP="00D35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67827">
              <w:t xml:space="preserve">In 2015, the </w:t>
            </w:r>
            <w:r>
              <w:t xml:space="preserve">state </w:t>
            </w:r>
            <w:r w:rsidRPr="00E67827">
              <w:t xml:space="preserve">legislature </w:t>
            </w:r>
            <w:r>
              <w:t>enacted</w:t>
            </w:r>
            <w:r w:rsidRPr="00E67827">
              <w:t xml:space="preserve"> </w:t>
            </w:r>
            <w:r>
              <w:t xml:space="preserve">the Texas Compassionate-Use Act and authorized low-THC cannabis to be prescribed to treat a </w:t>
            </w:r>
            <w:r>
              <w:t>patient with intractable epilepsy</w:t>
            </w:r>
            <w:r w:rsidRPr="00E67827">
              <w:t xml:space="preserve">. </w:t>
            </w:r>
            <w:r>
              <w:t>There have been calls to make certain updates to that act and to make more conditions eligible for treatment using low</w:t>
            </w:r>
            <w:r>
              <w:noBreakHyphen/>
            </w:r>
            <w:r>
              <w:t>THC cannabis.</w:t>
            </w:r>
            <w:r w:rsidRPr="00E67827">
              <w:t xml:space="preserve"> </w:t>
            </w:r>
            <w:r>
              <w:t>C.S.</w:t>
            </w:r>
            <w:r>
              <w:t>H.B. 3703 seeks to respond to those calls.</w:t>
            </w:r>
          </w:p>
          <w:p w:rsidR="008423E4" w:rsidRPr="00E26B13" w:rsidRDefault="00500BE4" w:rsidP="00D357DF">
            <w:pPr>
              <w:rPr>
                <w:b/>
              </w:rPr>
            </w:pPr>
          </w:p>
        </w:tc>
      </w:tr>
      <w:tr w:rsidR="008A669D" w:rsidTr="00345119">
        <w:tc>
          <w:tcPr>
            <w:tcW w:w="9576" w:type="dxa"/>
          </w:tcPr>
          <w:p w:rsidR="0017725B" w:rsidRDefault="00500BE4" w:rsidP="00D357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0BE4" w:rsidP="00D357DF">
            <w:pPr>
              <w:rPr>
                <w:b/>
                <w:u w:val="single"/>
              </w:rPr>
            </w:pPr>
          </w:p>
          <w:p w:rsidR="00C9677E" w:rsidRPr="00C9677E" w:rsidRDefault="00500BE4" w:rsidP="00D357DF">
            <w:pPr>
              <w:jc w:val="both"/>
            </w:pPr>
            <w:r>
              <w:t>It is the comm</w:t>
            </w:r>
            <w:r>
              <w:t>ittee's opinion that this bill does not expressly create a criminal offense, increase the punishment for an existing criminal offense or category of offenses, or change the eligibility of a person for community supervision, parole, or mandatory supervision</w:t>
            </w:r>
            <w:r>
              <w:t>.</w:t>
            </w:r>
          </w:p>
          <w:p w:rsidR="0017725B" w:rsidRPr="0017725B" w:rsidRDefault="00500BE4" w:rsidP="00D357DF">
            <w:pPr>
              <w:rPr>
                <w:b/>
                <w:u w:val="single"/>
              </w:rPr>
            </w:pPr>
          </w:p>
        </w:tc>
      </w:tr>
      <w:tr w:rsidR="008A669D" w:rsidTr="00345119">
        <w:tc>
          <w:tcPr>
            <w:tcW w:w="9576" w:type="dxa"/>
          </w:tcPr>
          <w:p w:rsidR="008423E4" w:rsidRPr="00A8133F" w:rsidRDefault="00500BE4" w:rsidP="00D357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0BE4" w:rsidP="00D357DF"/>
          <w:p w:rsidR="000D23BE" w:rsidRDefault="00500BE4" w:rsidP="00D35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executive commissioner of the Health and Human Services Commission in SECTION 3 </w:t>
            </w:r>
            <w:r>
              <w:t>of this bill.</w:t>
            </w:r>
          </w:p>
          <w:p w:rsidR="008423E4" w:rsidRPr="00E21FDC" w:rsidRDefault="00500BE4" w:rsidP="00D357DF">
            <w:pPr>
              <w:rPr>
                <w:b/>
              </w:rPr>
            </w:pPr>
          </w:p>
        </w:tc>
      </w:tr>
      <w:tr w:rsidR="008A669D" w:rsidTr="00345119">
        <w:tc>
          <w:tcPr>
            <w:tcW w:w="9576" w:type="dxa"/>
          </w:tcPr>
          <w:p w:rsidR="008423E4" w:rsidRPr="00A8133F" w:rsidRDefault="00500BE4" w:rsidP="00D357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0BE4" w:rsidP="00D357DF"/>
          <w:p w:rsidR="00B96CD3" w:rsidRDefault="00500BE4" w:rsidP="00D357DF">
            <w:pPr>
              <w:pStyle w:val="Header"/>
              <w:jc w:val="both"/>
            </w:pPr>
            <w:r>
              <w:t>C.S.</w:t>
            </w:r>
            <w:r>
              <w:t xml:space="preserve">H.B. 3703 </w:t>
            </w:r>
            <w:r>
              <w:t>repeals</w:t>
            </w:r>
            <w:r>
              <w:t xml:space="preserve"> provisions of the Texas Controlled Substances Act</w:t>
            </w:r>
            <w:r>
              <w:t>, Health and Safety Code,</w:t>
            </w:r>
            <w:r>
              <w:t xml:space="preserve"> providing for a therapeutic </w:t>
            </w:r>
            <w:r w:rsidRPr="00B96CD3">
              <w:t>research program for the supervised use of tetrahydrocannabinols</w:t>
            </w:r>
            <w:r>
              <w:t xml:space="preserve"> (THC)</w:t>
            </w:r>
            <w:r w:rsidRPr="00B96CD3">
              <w:t xml:space="preserve"> for medical and research purposes</w:t>
            </w:r>
            <w:r>
              <w:t xml:space="preserve">. The bill </w:t>
            </w:r>
            <w:r>
              <w:t>amends the He</w:t>
            </w:r>
            <w:r>
              <w:t xml:space="preserve">alth and Safety Code to </w:t>
            </w:r>
            <w:r>
              <w:t>require</w:t>
            </w:r>
            <w:r>
              <w:t xml:space="preserve"> the executive commissioner of the Health and Human Services Commission (HHSC) </w:t>
            </w:r>
            <w:r>
              <w:t xml:space="preserve">instead </w:t>
            </w:r>
            <w:r>
              <w:t xml:space="preserve">to </w:t>
            </w:r>
            <w:r>
              <w:t xml:space="preserve">establish by rule </w:t>
            </w:r>
            <w:r w:rsidRPr="00343D87">
              <w:t xml:space="preserve">a </w:t>
            </w:r>
            <w:r>
              <w:t>low-THC</w:t>
            </w:r>
            <w:r w:rsidRPr="00343D87">
              <w:t xml:space="preserve"> </w:t>
            </w:r>
            <w:r w:rsidRPr="00343D87">
              <w:t xml:space="preserve">cannabis research program to be conducted by one or more </w:t>
            </w:r>
            <w:r>
              <w:t>health-related institutions</w:t>
            </w:r>
            <w:r>
              <w:t>, as defined for purposes of the governor's uni</w:t>
            </w:r>
            <w:r>
              <w:t>versity research initiative, located</w:t>
            </w:r>
            <w:r w:rsidRPr="00343D87">
              <w:t xml:space="preserve"> in</w:t>
            </w:r>
            <w:r>
              <w:t xml:space="preserve"> Texas. The bill authorizes the executive commission</w:t>
            </w:r>
            <w:r>
              <w:t>er</w:t>
            </w:r>
            <w:r>
              <w:t xml:space="preserve">, in adopting </w:t>
            </w:r>
            <w:r>
              <w:t xml:space="preserve">the </w:t>
            </w:r>
            <w:r>
              <w:t xml:space="preserve">rules, to provide </w:t>
            </w:r>
            <w:r>
              <w:t>the following with respect to the program:</w:t>
            </w:r>
          </w:p>
          <w:p w:rsidR="00B96CD3" w:rsidRDefault="00500BE4" w:rsidP="00D357D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procedures for a </w:t>
            </w:r>
            <w:r>
              <w:t>health-related institutions</w:t>
            </w:r>
            <w:r>
              <w:t xml:space="preserve"> to apply to HHSC for a permit to conduc</w:t>
            </w:r>
            <w:r>
              <w:t xml:space="preserve">t </w:t>
            </w:r>
            <w:r>
              <w:t>low</w:t>
            </w:r>
            <w:r>
              <w:noBreakHyphen/>
            </w:r>
            <w:r>
              <w:t xml:space="preserve">THC </w:t>
            </w:r>
            <w:r>
              <w:t xml:space="preserve">cannabis research; </w:t>
            </w:r>
          </w:p>
          <w:p w:rsidR="00B96CD3" w:rsidRDefault="00500BE4" w:rsidP="00D357D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criteria for granting </w:t>
            </w:r>
            <w:r>
              <w:t xml:space="preserve">such </w:t>
            </w:r>
            <w:r>
              <w:t>a permit and any applicable permit fees;</w:t>
            </w:r>
          </w:p>
          <w:p w:rsidR="00B96CD3" w:rsidRDefault="00500BE4" w:rsidP="00D357D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limitations concerning the medical conditions for which </w:t>
            </w:r>
            <w:r>
              <w:t xml:space="preserve">low-THC </w:t>
            </w:r>
            <w:r>
              <w:t xml:space="preserve">cannabis research may be conducted; </w:t>
            </w:r>
          </w:p>
          <w:p w:rsidR="00B96CD3" w:rsidRDefault="00500BE4" w:rsidP="00D357D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restrictions related to facilities where </w:t>
            </w:r>
            <w:r>
              <w:t xml:space="preserve">low-THC </w:t>
            </w:r>
            <w:r>
              <w:t>cannabis</w:t>
            </w:r>
            <w:r>
              <w:t xml:space="preserve"> research may be conducted; and </w:t>
            </w:r>
          </w:p>
          <w:p w:rsidR="00B96CD3" w:rsidRDefault="00500BE4" w:rsidP="00D357D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any other conditions related to </w:t>
            </w:r>
            <w:r>
              <w:t xml:space="preserve">low-THC </w:t>
            </w:r>
            <w:r>
              <w:t>cannabis research that are necessary to comply with federal law regarding cannabis research with human subjects.</w:t>
            </w:r>
            <w:r>
              <w:t xml:space="preserve"> </w:t>
            </w:r>
          </w:p>
          <w:p w:rsidR="006B21E8" w:rsidRDefault="00500BE4" w:rsidP="00D357DF">
            <w:pPr>
              <w:pStyle w:val="Header"/>
              <w:jc w:val="both"/>
            </w:pPr>
            <w:r>
              <w:t xml:space="preserve">The bill requires the executive commissioner to make or </w:t>
            </w:r>
            <w:r w:rsidRPr="0059545A">
              <w:t xml:space="preserve">assist a </w:t>
            </w:r>
            <w:r>
              <w:t xml:space="preserve">health-related </w:t>
            </w:r>
            <w:r>
              <w:t>institution</w:t>
            </w:r>
            <w:r w:rsidRPr="0059545A">
              <w:t xml:space="preserve"> seeking to conduct research into </w:t>
            </w:r>
            <w:r>
              <w:t>low-THC</w:t>
            </w:r>
            <w:r w:rsidRPr="0059545A">
              <w:t xml:space="preserve"> </w:t>
            </w:r>
            <w:r w:rsidRPr="0059545A">
              <w:t>cannabis in making all necessary applications to appropriate federal agencies to establish the program</w:t>
            </w:r>
            <w:r>
              <w:t xml:space="preserve"> </w:t>
            </w:r>
            <w:r w:rsidRPr="0059545A">
              <w:t>in compliance with federal law.</w:t>
            </w:r>
            <w:r>
              <w:t xml:space="preserve"> HHSC is </w:t>
            </w:r>
            <w:r w:rsidRPr="0059545A">
              <w:t>not required to establish the program if a re</w:t>
            </w:r>
            <w:r w:rsidRPr="0059545A">
              <w:t>gistration or license required by federal law to operate the program cannot be obtained.</w:t>
            </w:r>
            <w:r>
              <w:t xml:space="preserve"> </w:t>
            </w:r>
          </w:p>
          <w:p w:rsidR="006B21E8" w:rsidRDefault="00500BE4" w:rsidP="00D357DF">
            <w:pPr>
              <w:pStyle w:val="Header"/>
              <w:jc w:val="both"/>
            </w:pPr>
          </w:p>
          <w:p w:rsidR="00D357DF" w:rsidRDefault="00500BE4" w:rsidP="00D357DF">
            <w:pPr>
              <w:pStyle w:val="Header"/>
              <w:jc w:val="both"/>
            </w:pPr>
          </w:p>
          <w:p w:rsidR="00143A23" w:rsidRDefault="00500BE4" w:rsidP="00D357DF">
            <w:pPr>
              <w:pStyle w:val="Header"/>
              <w:jc w:val="both"/>
            </w:pPr>
            <w:r>
              <w:t>C.S.</w:t>
            </w:r>
            <w:r>
              <w:t>H.B. 3703</w:t>
            </w:r>
            <w:r>
              <w:t xml:space="preserve"> authorizes a dispensing organization licensed to cultivate, process, and dispense low</w:t>
            </w:r>
            <w:r>
              <w:noBreakHyphen/>
            </w:r>
            <w:r>
              <w:t>THC cannabis</w:t>
            </w:r>
            <w:r>
              <w:t>, as defined in the bill,</w:t>
            </w:r>
            <w:r>
              <w:t xml:space="preserve"> to a patient </w:t>
            </w:r>
            <w:r>
              <w:t>under the Tex</w:t>
            </w:r>
            <w:r>
              <w:t xml:space="preserve">as Compassionate-Use Act </w:t>
            </w:r>
            <w:r>
              <w:t xml:space="preserve">to </w:t>
            </w:r>
            <w:r w:rsidRPr="0059545A">
              <w:t xml:space="preserve">operate more than one dispensing location under a single license issued by the </w:t>
            </w:r>
            <w:r>
              <w:t>Department of Public Safety (DPS)</w:t>
            </w:r>
            <w:r w:rsidRPr="0059545A">
              <w:t xml:space="preserve"> if </w:t>
            </w:r>
            <w:r>
              <w:t xml:space="preserve">DPS </w:t>
            </w:r>
            <w:r w:rsidRPr="0059545A">
              <w:t>determines that more than one dispensing location is necessary to meet patient access needs.</w:t>
            </w:r>
            <w:r>
              <w:t xml:space="preserve"> The bill requir</w:t>
            </w:r>
            <w:r>
              <w:t xml:space="preserve">es a dispensing organization to </w:t>
            </w:r>
            <w:r w:rsidRPr="0068036D">
              <w:t xml:space="preserve">provide to </w:t>
            </w:r>
            <w:r>
              <w:t>DPS</w:t>
            </w:r>
            <w:r w:rsidRPr="0068036D">
              <w:t xml:space="preserve"> a sample suitable for testing of low-THC cannabis dispensed by the organization</w:t>
            </w:r>
            <w:r>
              <w:t xml:space="preserve"> o</w:t>
            </w:r>
            <w:r w:rsidRPr="0068036D">
              <w:t xml:space="preserve">n request of </w:t>
            </w:r>
            <w:r>
              <w:t>DPS</w:t>
            </w:r>
            <w:r w:rsidRPr="0068036D">
              <w:t>.</w:t>
            </w:r>
            <w:r>
              <w:t xml:space="preserve"> </w:t>
            </w:r>
          </w:p>
          <w:p w:rsidR="00143A23" w:rsidRDefault="00500BE4" w:rsidP="00D357DF">
            <w:pPr>
              <w:pStyle w:val="Header"/>
              <w:jc w:val="both"/>
            </w:pPr>
          </w:p>
          <w:p w:rsidR="00343D87" w:rsidRDefault="00500BE4" w:rsidP="00D357DF">
            <w:pPr>
              <w:pStyle w:val="Header"/>
              <w:jc w:val="both"/>
            </w:pPr>
            <w:r>
              <w:t>C.S.</w:t>
            </w:r>
            <w:r>
              <w:t>H.B. 3703 amends the Occupations Code to</w:t>
            </w:r>
            <w:r>
              <w:t xml:space="preserve"> remove the </w:t>
            </w:r>
            <w:r>
              <w:t>requirement</w:t>
            </w:r>
            <w:r>
              <w:t xml:space="preserve"> </w:t>
            </w:r>
            <w:r>
              <w:t>for</w:t>
            </w:r>
            <w:r>
              <w:t xml:space="preserve"> cannabis </w:t>
            </w:r>
            <w:r>
              <w:t>that contains not more than</w:t>
            </w:r>
            <w:r>
              <w:t xml:space="preserve"> 0.5 percent by weight of THC to also </w:t>
            </w:r>
            <w:r>
              <w:t>contain not less than 10 percent by weight of cannabidiol</w:t>
            </w:r>
            <w:r>
              <w:t xml:space="preserve"> </w:t>
            </w:r>
            <w:r>
              <w:t>for that cannabis to be considered low-THC for purposes of prescribing low-THC cannabis to certain patients for compassionate use</w:t>
            </w:r>
            <w:r>
              <w:t xml:space="preserve">. </w:t>
            </w:r>
            <w:r>
              <w:t xml:space="preserve">The bill expands </w:t>
            </w:r>
            <w:r>
              <w:t xml:space="preserve">the medical </w:t>
            </w:r>
            <w:r>
              <w:t xml:space="preserve">conditions for which a patient may be prescribed low-THC cannabis </w:t>
            </w:r>
            <w:r>
              <w:t xml:space="preserve">for compassionate use </w:t>
            </w:r>
            <w:r>
              <w:t xml:space="preserve">to </w:t>
            </w:r>
            <w:r>
              <w:t xml:space="preserve">include all forms of </w:t>
            </w:r>
            <w:r>
              <w:t xml:space="preserve">epilepsy </w:t>
            </w:r>
            <w:r>
              <w:t xml:space="preserve">as well as </w:t>
            </w:r>
            <w:r>
              <w:t xml:space="preserve">multiple sclerosis </w:t>
            </w:r>
            <w:r>
              <w:t xml:space="preserve">and </w:t>
            </w:r>
            <w:r>
              <w:t xml:space="preserve">spasticity. </w:t>
            </w:r>
          </w:p>
          <w:p w:rsidR="00343D87" w:rsidRDefault="00500BE4" w:rsidP="00D35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500BE4" w:rsidP="00D35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3703 amends the Education Code to prohibit a student</w:t>
            </w:r>
            <w:r>
              <w:t xml:space="preserve"> for whom low-THC cannabis was prescribed </w:t>
            </w:r>
            <w:r>
              <w:t xml:space="preserve">for compassionate use </w:t>
            </w:r>
            <w:r>
              <w:t xml:space="preserve">from being subject to </w:t>
            </w:r>
            <w:r>
              <w:t>a</w:t>
            </w:r>
            <w:r w:rsidRPr="00343D87">
              <w:t xml:space="preserve"> form of discipline solely because the student possessed, used, or was under the influence of the low-THC cannabis.</w:t>
            </w:r>
          </w:p>
          <w:p w:rsidR="00A01FB5" w:rsidRDefault="00500BE4" w:rsidP="00D35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01FB5" w:rsidRDefault="00500BE4" w:rsidP="00D35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3703 repeals the following provisions:</w:t>
            </w:r>
          </w:p>
          <w:p w:rsidR="00A01FB5" w:rsidRDefault="00500BE4" w:rsidP="00D357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01FB5">
              <w:t>Subchapter G, Chapter 481, Health and Safety Code</w:t>
            </w:r>
          </w:p>
          <w:p w:rsidR="00A01FB5" w:rsidRDefault="00500BE4" w:rsidP="00D357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01FB5">
              <w:t>Section 169.001(2), Occupations Code</w:t>
            </w:r>
            <w:r>
              <w:t xml:space="preserve">  </w:t>
            </w:r>
          </w:p>
          <w:p w:rsidR="008423E4" w:rsidRPr="00835628" w:rsidRDefault="00500BE4" w:rsidP="00D357DF">
            <w:pPr>
              <w:rPr>
                <w:b/>
              </w:rPr>
            </w:pPr>
          </w:p>
        </w:tc>
      </w:tr>
      <w:tr w:rsidR="008A669D" w:rsidTr="00345119">
        <w:tc>
          <w:tcPr>
            <w:tcW w:w="9576" w:type="dxa"/>
          </w:tcPr>
          <w:p w:rsidR="008423E4" w:rsidRPr="00A8133F" w:rsidRDefault="00500BE4" w:rsidP="00D357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0BE4" w:rsidP="00D357DF"/>
          <w:p w:rsidR="008423E4" w:rsidRPr="003624F2" w:rsidRDefault="00500BE4" w:rsidP="00D35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1FB5">
              <w:t>September 1, 2019.</w:t>
            </w:r>
          </w:p>
          <w:p w:rsidR="008423E4" w:rsidRPr="00233FDB" w:rsidRDefault="00500BE4" w:rsidP="00D357DF">
            <w:pPr>
              <w:rPr>
                <w:b/>
              </w:rPr>
            </w:pPr>
          </w:p>
        </w:tc>
      </w:tr>
      <w:tr w:rsidR="008A669D" w:rsidTr="00345119">
        <w:tc>
          <w:tcPr>
            <w:tcW w:w="9576" w:type="dxa"/>
          </w:tcPr>
          <w:p w:rsidR="009C5D75" w:rsidRDefault="00500BE4" w:rsidP="00D357D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C0D2E" w:rsidRDefault="00500BE4" w:rsidP="00D357DF">
            <w:pPr>
              <w:jc w:val="both"/>
            </w:pPr>
          </w:p>
          <w:p w:rsidR="00DC0D2E" w:rsidRDefault="00500BE4" w:rsidP="00D357DF">
            <w:pPr>
              <w:jc w:val="both"/>
            </w:pPr>
            <w:r>
              <w:t>While C.S.H.B. 3703 may differ from the original in minor or nonsubstantive ways, the fo</w:t>
            </w:r>
            <w:r>
              <w:t>llowing summarizes the substantial differences between the introduced and committee substitute versions of the bill.</w:t>
            </w:r>
          </w:p>
          <w:p w:rsidR="00DC0D2E" w:rsidRDefault="00500BE4" w:rsidP="00D357DF">
            <w:pPr>
              <w:jc w:val="both"/>
            </w:pPr>
          </w:p>
          <w:p w:rsidR="00DC0D2E" w:rsidRDefault="00500BE4" w:rsidP="00D357DF">
            <w:pPr>
              <w:jc w:val="both"/>
            </w:pPr>
            <w:r>
              <w:t xml:space="preserve">The substitute </w:t>
            </w:r>
            <w:r>
              <w:t>changes the research program from a medical cannabis research program to a</w:t>
            </w:r>
            <w:r>
              <w:t xml:space="preserve"> low</w:t>
            </w:r>
            <w:r>
              <w:noBreakHyphen/>
            </w:r>
            <w:r>
              <w:t>THC cannabis</w:t>
            </w:r>
            <w:r>
              <w:t xml:space="preserve"> research program and changes the entities that may conduct such a program from</w:t>
            </w:r>
            <w:r>
              <w:t xml:space="preserve"> a medical school </w:t>
            </w:r>
            <w:r>
              <w:t>to</w:t>
            </w:r>
            <w:r>
              <w:t xml:space="preserve"> a health-related institution.</w:t>
            </w:r>
            <w:r>
              <w:t xml:space="preserve"> The substitute </w:t>
            </w:r>
            <w:r>
              <w:t>provides</w:t>
            </w:r>
            <w:r>
              <w:t xml:space="preserve"> definitions </w:t>
            </w:r>
            <w:r>
              <w:t>for</w:t>
            </w:r>
            <w:r>
              <w:t xml:space="preserve"> "health-related institution" and "low-THC cannabis."</w:t>
            </w:r>
          </w:p>
          <w:p w:rsidR="00DC0D2E" w:rsidRDefault="00500BE4" w:rsidP="00D357DF">
            <w:pPr>
              <w:jc w:val="both"/>
            </w:pPr>
          </w:p>
          <w:p w:rsidR="00DC0D2E" w:rsidRDefault="00500BE4" w:rsidP="00D357DF">
            <w:pPr>
              <w:jc w:val="both"/>
            </w:pPr>
            <w:r>
              <w:t xml:space="preserve">The substitute does not include </w:t>
            </w:r>
            <w:r>
              <w:t xml:space="preserve">an </w:t>
            </w:r>
            <w:r>
              <w:t xml:space="preserve">increase in the maximum percent weight of THC allowable in cannabis for that cannabis to be considered low-THC cannabis and removes instead the </w:t>
            </w:r>
            <w:r>
              <w:t>requirement for</w:t>
            </w:r>
            <w:r>
              <w:t xml:space="preserve"> cannabis </w:t>
            </w:r>
            <w:r>
              <w:t xml:space="preserve">that contains a qualifying weight of THC to also </w:t>
            </w:r>
            <w:r>
              <w:t>contain not less than 10 percent by</w:t>
            </w:r>
            <w:r>
              <w:t xml:space="preserve"> weight of cann</w:t>
            </w:r>
            <w:r>
              <w:t>a</w:t>
            </w:r>
            <w:r>
              <w:t>bidiol to be considered low-</w:t>
            </w:r>
            <w:r>
              <w:t xml:space="preserve">THC </w:t>
            </w:r>
            <w:r>
              <w:t>cannabis.</w:t>
            </w:r>
          </w:p>
          <w:p w:rsidR="00DC0D2E" w:rsidRDefault="00500BE4" w:rsidP="00D357DF">
            <w:pPr>
              <w:jc w:val="both"/>
            </w:pPr>
          </w:p>
          <w:p w:rsidR="00DC0D2E" w:rsidRDefault="00500BE4" w:rsidP="00D357DF">
            <w:pPr>
              <w:jc w:val="both"/>
            </w:pPr>
            <w:r>
              <w:t>The substitute does not remov</w:t>
            </w:r>
            <w:r>
              <w:t>e</w:t>
            </w:r>
            <w:r>
              <w:t xml:space="preserve"> the requirement for a physician to dedicate a significant portion of clinical practice to the evaluation and treatment of </w:t>
            </w:r>
            <w:r>
              <w:t>epilepsy</w:t>
            </w:r>
            <w:r>
              <w:t xml:space="preserve"> to be qualified to prescribe low</w:t>
            </w:r>
            <w:r>
              <w:noBreakHyphen/>
            </w:r>
            <w:r>
              <w:t xml:space="preserve">THC cannabis to </w:t>
            </w:r>
            <w:r>
              <w:t xml:space="preserve">a </w:t>
            </w:r>
            <w:r>
              <w:t>patient</w:t>
            </w:r>
            <w:r>
              <w:t xml:space="preserve"> for medical use but revises that requirement instead to reflect the expanded medical conditions for which low-THC cannabis may be prescribed</w:t>
            </w:r>
            <w:r>
              <w:t>.</w:t>
            </w:r>
          </w:p>
          <w:p w:rsidR="00DC0D2E" w:rsidRDefault="00500BE4" w:rsidP="00D357DF">
            <w:pPr>
              <w:jc w:val="both"/>
            </w:pPr>
          </w:p>
          <w:p w:rsidR="00DC0D2E" w:rsidRPr="00DC0D2E" w:rsidRDefault="00500BE4" w:rsidP="00D357DF">
            <w:pPr>
              <w:jc w:val="both"/>
            </w:pPr>
            <w:r>
              <w:t>The substitute does not remov</w:t>
            </w:r>
            <w:r>
              <w:t>e</w:t>
            </w:r>
            <w:r>
              <w:t xml:space="preserve"> the requirement for a second physician to concur </w:t>
            </w:r>
            <w:r>
              <w:t xml:space="preserve">with a </w:t>
            </w:r>
            <w:r>
              <w:t xml:space="preserve">determination regarding the reasonable risk of the medical use of low-THC cannabis before that low-THC </w:t>
            </w:r>
            <w:r>
              <w:t xml:space="preserve">cannabis </w:t>
            </w:r>
            <w:r>
              <w:t>may be prescribed.</w:t>
            </w:r>
            <w:r>
              <w:t xml:space="preserve"> </w:t>
            </w:r>
          </w:p>
        </w:tc>
      </w:tr>
      <w:tr w:rsidR="008A669D" w:rsidTr="00345119">
        <w:tc>
          <w:tcPr>
            <w:tcW w:w="9576" w:type="dxa"/>
          </w:tcPr>
          <w:p w:rsidR="009C5D75" w:rsidRPr="009C1E9A" w:rsidRDefault="00500BE4" w:rsidP="00D357DF">
            <w:pPr>
              <w:rPr>
                <w:b/>
                <w:u w:val="single"/>
              </w:rPr>
            </w:pPr>
          </w:p>
        </w:tc>
      </w:tr>
      <w:tr w:rsidR="008A669D" w:rsidTr="00345119">
        <w:tc>
          <w:tcPr>
            <w:tcW w:w="9576" w:type="dxa"/>
          </w:tcPr>
          <w:p w:rsidR="009C5D75" w:rsidRPr="009C5D75" w:rsidRDefault="00500BE4" w:rsidP="00D357DF">
            <w:pPr>
              <w:jc w:val="both"/>
            </w:pPr>
          </w:p>
        </w:tc>
      </w:tr>
    </w:tbl>
    <w:p w:rsidR="008423E4" w:rsidRPr="00BE0E75" w:rsidRDefault="00500B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00BE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0BE4">
      <w:r>
        <w:separator/>
      </w:r>
    </w:p>
  </w:endnote>
  <w:endnote w:type="continuationSeparator" w:id="0">
    <w:p w:rsidR="00000000" w:rsidRDefault="0050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CE" w:rsidRDefault="00500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A669D" w:rsidTr="009C1E9A">
      <w:trPr>
        <w:cantSplit/>
      </w:trPr>
      <w:tc>
        <w:tcPr>
          <w:tcW w:w="0" w:type="pct"/>
        </w:tcPr>
        <w:p w:rsidR="00137D90" w:rsidRDefault="00500B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0B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0B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0B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0B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669D" w:rsidTr="009C1E9A">
      <w:trPr>
        <w:cantSplit/>
      </w:trPr>
      <w:tc>
        <w:tcPr>
          <w:tcW w:w="0" w:type="pct"/>
        </w:tcPr>
        <w:p w:rsidR="00EC379B" w:rsidRDefault="00500B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0B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29808</w:t>
          </w:r>
        </w:p>
      </w:tc>
      <w:tc>
        <w:tcPr>
          <w:tcW w:w="2453" w:type="pct"/>
        </w:tcPr>
        <w:p w:rsidR="00EC379B" w:rsidRDefault="00500B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19.116.84</w:t>
          </w:r>
          <w:r>
            <w:fldChar w:fldCharType="end"/>
          </w:r>
        </w:p>
      </w:tc>
    </w:tr>
    <w:tr w:rsidR="008A669D" w:rsidTr="009C1E9A">
      <w:trPr>
        <w:cantSplit/>
      </w:trPr>
      <w:tc>
        <w:tcPr>
          <w:tcW w:w="0" w:type="pct"/>
        </w:tcPr>
        <w:p w:rsidR="00EC379B" w:rsidRDefault="00500B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0B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28360</w:t>
          </w:r>
        </w:p>
      </w:tc>
      <w:tc>
        <w:tcPr>
          <w:tcW w:w="2453" w:type="pct"/>
        </w:tcPr>
        <w:p w:rsidR="00EC379B" w:rsidRDefault="00500BE4" w:rsidP="006D504F">
          <w:pPr>
            <w:pStyle w:val="Footer"/>
            <w:rPr>
              <w:rStyle w:val="PageNumber"/>
            </w:rPr>
          </w:pPr>
        </w:p>
        <w:p w:rsidR="00EC379B" w:rsidRDefault="00500B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66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0B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0B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0B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CE" w:rsidRDefault="0050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0BE4">
      <w:r>
        <w:separator/>
      </w:r>
    </w:p>
  </w:footnote>
  <w:footnote w:type="continuationSeparator" w:id="0">
    <w:p w:rsidR="00000000" w:rsidRDefault="0050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CE" w:rsidRDefault="00500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CE" w:rsidRDefault="00500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CE" w:rsidRDefault="00500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384B"/>
    <w:multiLevelType w:val="hybridMultilevel"/>
    <w:tmpl w:val="BA62D54A"/>
    <w:lvl w:ilvl="0" w:tplc="3D681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EF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2A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0A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25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AC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8F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A9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A1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1551"/>
    <w:multiLevelType w:val="hybridMultilevel"/>
    <w:tmpl w:val="E39EE00C"/>
    <w:lvl w:ilvl="0" w:tplc="92E01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0F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AF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29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89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4D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E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45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83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9D"/>
    <w:rsid w:val="00500BE4"/>
    <w:rsid w:val="008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AB3E67-4E47-4AEF-8AFB-1249B10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3D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D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4782</Characters>
  <Application>Microsoft Office Word</Application>
  <DocSecurity>4</DocSecurity>
  <Lines>108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HB03703 (Committee Report (Substituted))</vt:lpstr>
    </vt:vector>
  </TitlesOfParts>
  <Company>State of Texas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29808</dc:subject>
  <dc:creator>State of Texas</dc:creator>
  <dc:description>HB 3703 by Klick-(H)Public Health (Substitute Document Number: 86R 28360)</dc:description>
  <cp:lastModifiedBy>Erin Conway</cp:lastModifiedBy>
  <cp:revision>2</cp:revision>
  <cp:lastPrinted>2003-11-26T17:21:00Z</cp:lastPrinted>
  <dcterms:created xsi:type="dcterms:W3CDTF">2019-04-30T23:25:00Z</dcterms:created>
  <dcterms:modified xsi:type="dcterms:W3CDTF">2019-04-30T23:25:00Z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19.116.84</vt:lpwstr>
  </property>
</Properties>
</file>