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D19FE" w:rsidTr="00345119">
        <w:tc>
          <w:tcPr>
            <w:tcW w:w="9576" w:type="dxa"/>
            <w:noWrap/>
          </w:tcPr>
          <w:p w:rsidR="008423E4" w:rsidRPr="0022177D" w:rsidRDefault="003553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5387" w:rsidP="008423E4">
      <w:pPr>
        <w:jc w:val="center"/>
      </w:pPr>
    </w:p>
    <w:p w:rsidR="008423E4" w:rsidRPr="00B31F0E" w:rsidRDefault="00355387" w:rsidP="008423E4"/>
    <w:p w:rsidR="008423E4" w:rsidRPr="00742794" w:rsidRDefault="003553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19FE" w:rsidTr="00345119">
        <w:tc>
          <w:tcPr>
            <w:tcW w:w="9576" w:type="dxa"/>
          </w:tcPr>
          <w:p w:rsidR="008423E4" w:rsidRPr="00861995" w:rsidRDefault="00355387" w:rsidP="00345119">
            <w:pPr>
              <w:jc w:val="right"/>
            </w:pPr>
            <w:r>
              <w:t>C.S.H.B. 3727</w:t>
            </w:r>
          </w:p>
        </w:tc>
      </w:tr>
      <w:tr w:rsidR="008D19FE" w:rsidTr="00345119">
        <w:tc>
          <w:tcPr>
            <w:tcW w:w="9576" w:type="dxa"/>
          </w:tcPr>
          <w:p w:rsidR="008423E4" w:rsidRPr="00861995" w:rsidRDefault="00355387" w:rsidP="00C758FA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8D19FE" w:rsidTr="00345119">
        <w:tc>
          <w:tcPr>
            <w:tcW w:w="9576" w:type="dxa"/>
          </w:tcPr>
          <w:p w:rsidR="008423E4" w:rsidRPr="00861995" w:rsidRDefault="00355387" w:rsidP="00345119">
            <w:pPr>
              <w:jc w:val="right"/>
            </w:pPr>
            <w:r>
              <w:t>County Affairs</w:t>
            </w:r>
          </w:p>
        </w:tc>
      </w:tr>
      <w:tr w:rsidR="008D19FE" w:rsidTr="00345119">
        <w:tc>
          <w:tcPr>
            <w:tcW w:w="9576" w:type="dxa"/>
          </w:tcPr>
          <w:p w:rsidR="008423E4" w:rsidRDefault="003553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55387" w:rsidP="008423E4">
      <w:pPr>
        <w:tabs>
          <w:tab w:val="right" w:pos="9360"/>
        </w:tabs>
      </w:pPr>
    </w:p>
    <w:p w:rsidR="008423E4" w:rsidRDefault="00355387" w:rsidP="008423E4"/>
    <w:p w:rsidR="008423E4" w:rsidRDefault="003553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D19FE" w:rsidTr="00345119">
        <w:tc>
          <w:tcPr>
            <w:tcW w:w="9576" w:type="dxa"/>
          </w:tcPr>
          <w:p w:rsidR="008423E4" w:rsidRPr="00A8133F" w:rsidRDefault="00355387" w:rsidP="005674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5387" w:rsidP="00567411"/>
          <w:p w:rsidR="00AD750D" w:rsidRDefault="00355387" w:rsidP="00567411">
            <w:pPr>
              <w:pStyle w:val="Header"/>
              <w:jc w:val="both"/>
            </w:pPr>
            <w:r>
              <w:t>Concerns have been raised regarding the limited online availability of</w:t>
            </w:r>
            <w:r>
              <w:t xml:space="preserve"> important information regarding certain special districts.</w:t>
            </w:r>
            <w:r>
              <w:t xml:space="preserve"> It has been suggested that i</w:t>
            </w:r>
            <w:r>
              <w:t xml:space="preserve">nformation regarding elections and meetings of special districts needs to be readily available for the population of the district to ensure the most transparency possible.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3727 </w:t>
            </w:r>
            <w:r>
              <w:t xml:space="preserve">seeks to address </w:t>
            </w:r>
            <w:r>
              <w:t xml:space="preserve">this issue by </w:t>
            </w:r>
            <w:r>
              <w:t xml:space="preserve">providing </w:t>
            </w:r>
            <w:r>
              <w:t xml:space="preserve">for the online publication of certain information by </w:t>
            </w:r>
            <w:r>
              <w:t>all emergency service</w:t>
            </w:r>
            <w:r>
              <w:t>s</w:t>
            </w:r>
            <w:r>
              <w:t xml:space="preserve"> districts and municipal utility districts with a population of </w:t>
            </w:r>
            <w:r>
              <w:t>more than</w:t>
            </w:r>
            <w:r>
              <w:t xml:space="preserve"> 100.</w:t>
            </w:r>
          </w:p>
          <w:p w:rsidR="008423E4" w:rsidRPr="00E26B13" w:rsidRDefault="00355387" w:rsidP="00567411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D19FE" w:rsidTr="00345119">
        <w:tc>
          <w:tcPr>
            <w:tcW w:w="9576" w:type="dxa"/>
          </w:tcPr>
          <w:p w:rsidR="0017725B" w:rsidRDefault="00355387" w:rsidP="005674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5387" w:rsidP="00567411">
            <w:pPr>
              <w:rPr>
                <w:b/>
                <w:u w:val="single"/>
              </w:rPr>
            </w:pPr>
          </w:p>
          <w:p w:rsidR="00B5397D" w:rsidRPr="00B5397D" w:rsidRDefault="00355387" w:rsidP="00567411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5387" w:rsidP="00567411">
            <w:pPr>
              <w:rPr>
                <w:b/>
                <w:u w:val="single"/>
              </w:rPr>
            </w:pPr>
          </w:p>
        </w:tc>
      </w:tr>
      <w:tr w:rsidR="008D19FE" w:rsidTr="00345119">
        <w:tc>
          <w:tcPr>
            <w:tcW w:w="9576" w:type="dxa"/>
          </w:tcPr>
          <w:p w:rsidR="008423E4" w:rsidRPr="00A8133F" w:rsidRDefault="00355387" w:rsidP="005674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5387" w:rsidP="00567411"/>
          <w:p w:rsidR="00B5397D" w:rsidRDefault="00355387" w:rsidP="005674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355387" w:rsidP="00567411">
            <w:pPr>
              <w:rPr>
                <w:b/>
              </w:rPr>
            </w:pPr>
          </w:p>
        </w:tc>
      </w:tr>
      <w:tr w:rsidR="008D19FE" w:rsidTr="00345119">
        <w:tc>
          <w:tcPr>
            <w:tcW w:w="9576" w:type="dxa"/>
          </w:tcPr>
          <w:p w:rsidR="00C0649C" w:rsidRDefault="00355387" w:rsidP="005674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450D5" w:rsidRPr="00C758FA" w:rsidRDefault="00355387" w:rsidP="00567411">
            <w:pPr>
              <w:rPr>
                <w:b/>
              </w:rPr>
            </w:pPr>
          </w:p>
          <w:p w:rsidR="009E6281" w:rsidRDefault="00355387" w:rsidP="00567411">
            <w:pPr>
              <w:pStyle w:val="Header"/>
              <w:jc w:val="both"/>
            </w:pPr>
            <w:r>
              <w:t>C.S.</w:t>
            </w:r>
            <w:r>
              <w:t>H.B. 3727 amends the Health and Safety Code and</w:t>
            </w:r>
            <w:r>
              <w:t xml:space="preserve"> the</w:t>
            </w:r>
            <w:r>
              <w:t xml:space="preserve"> Water Code to require an emergency services d</w:t>
            </w:r>
            <w:r w:rsidRPr="00F7365A">
              <w:t xml:space="preserve">istrict </w:t>
            </w:r>
            <w:r>
              <w:t>an</w:t>
            </w:r>
            <w:r>
              <w:t xml:space="preserve">d a municipal </w:t>
            </w:r>
            <w:r>
              <w:t xml:space="preserve">utility </w:t>
            </w:r>
            <w:r>
              <w:t>district</w:t>
            </w:r>
            <w:r>
              <w:t>, as applicable</w:t>
            </w:r>
            <w:r>
              <w:t xml:space="preserve">, </w:t>
            </w:r>
            <w:r>
              <w:t xml:space="preserve">with a population of more than 100 </w:t>
            </w:r>
            <w:r>
              <w:t xml:space="preserve">to annually provide to the comptroller </w:t>
            </w:r>
            <w:r>
              <w:t xml:space="preserve">of public accounts </w:t>
            </w:r>
            <w:r>
              <w:t xml:space="preserve">for inclusion in the </w:t>
            </w:r>
            <w:r>
              <w:t>Special Purpose District Public Information Database</w:t>
            </w:r>
            <w:r>
              <w:t xml:space="preserve"> </w:t>
            </w:r>
            <w:r>
              <w:t xml:space="preserve">the following information: </w:t>
            </w:r>
          </w:p>
          <w:p w:rsidR="009E6281" w:rsidRDefault="00355387" w:rsidP="0056741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9E6281">
              <w:t xml:space="preserve">an indication </w:t>
            </w:r>
            <w:r w:rsidRPr="009E6281">
              <w:t xml:space="preserve">of whether the district's commissioners </w:t>
            </w:r>
            <w:r>
              <w:t xml:space="preserve">or directors, as applicable, </w:t>
            </w:r>
            <w:r w:rsidRPr="009E6281">
              <w:t>are appointed or elected;</w:t>
            </w:r>
          </w:p>
          <w:p w:rsidR="00B25ACE" w:rsidRDefault="00355387" w:rsidP="0056741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if the district's commissioners or directors are elected: </w:t>
            </w:r>
          </w:p>
          <w:p w:rsidR="00B25ACE" w:rsidRDefault="00355387" w:rsidP="00567411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an indication of the month in which the district's regular elections take place</w:t>
            </w:r>
            <w:r>
              <w:t>;</w:t>
            </w:r>
            <w:r>
              <w:t xml:space="preserve"> </w:t>
            </w:r>
          </w:p>
          <w:p w:rsidR="00B25ACE" w:rsidRDefault="00355387" w:rsidP="00567411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instructions for bec</w:t>
            </w:r>
            <w:r>
              <w:t>oming a candidate to be elected as a commissioner, including any relevant</w:t>
            </w:r>
            <w:r>
              <w:t xml:space="preserve"> document filing</w:t>
            </w:r>
            <w:r>
              <w:t xml:space="preserve"> deadlines</w:t>
            </w:r>
            <w:r>
              <w:t>;</w:t>
            </w:r>
            <w:r>
              <w:t xml:space="preserve"> and </w:t>
            </w:r>
          </w:p>
          <w:p w:rsidR="009E6281" w:rsidRDefault="00355387" w:rsidP="00567411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instructions for obtaining the results of district elections; and</w:t>
            </w:r>
          </w:p>
          <w:p w:rsidR="009E6281" w:rsidRDefault="00355387" w:rsidP="0056741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if the district's commissioners</w:t>
            </w:r>
            <w:r>
              <w:t xml:space="preserve"> or directors</w:t>
            </w:r>
            <w:r>
              <w:t xml:space="preserve"> are appointed, a description of the app</w:t>
            </w:r>
            <w:r>
              <w:t>ointment process and the person or body that has appointing authority</w:t>
            </w:r>
            <w:r>
              <w:t>.</w:t>
            </w:r>
          </w:p>
          <w:p w:rsidR="00D92D42" w:rsidRDefault="00355387" w:rsidP="00567411">
            <w:pPr>
              <w:pStyle w:val="Header"/>
              <w:jc w:val="both"/>
            </w:pPr>
          </w:p>
          <w:p w:rsidR="00967C5B" w:rsidRDefault="00355387" w:rsidP="00567411">
            <w:pPr>
              <w:pStyle w:val="Header"/>
              <w:jc w:val="both"/>
            </w:pPr>
            <w:r>
              <w:t xml:space="preserve">C.S.H.B. 3727 </w:t>
            </w:r>
            <w:r>
              <w:t xml:space="preserve">requires such a district </w:t>
            </w:r>
            <w:r>
              <w:t xml:space="preserve">to maintain a website </w:t>
            </w:r>
            <w:r>
              <w:t xml:space="preserve">or </w:t>
            </w:r>
            <w:r>
              <w:t xml:space="preserve">an Internet </w:t>
            </w:r>
            <w:r>
              <w:t>domain name that includes a form of the</w:t>
            </w:r>
            <w:r>
              <w:t xml:space="preserve"> district's</w:t>
            </w:r>
            <w:r>
              <w:t xml:space="preserve"> name and directs a user to the district's entry in the</w:t>
            </w:r>
            <w:r>
              <w:t xml:space="preserve"> comptroller</w:t>
            </w:r>
            <w:r>
              <w:t xml:space="preserve"> database. The bill</w:t>
            </w:r>
            <w:r>
              <w:t xml:space="preserve"> </w:t>
            </w:r>
            <w:r>
              <w:t xml:space="preserve">requires the </w:t>
            </w:r>
            <w:r w:rsidRPr="00F7365A">
              <w:t>board of e</w:t>
            </w:r>
            <w:r>
              <w:t xml:space="preserve">mergency services commissioners </w:t>
            </w:r>
            <w:r>
              <w:t xml:space="preserve">and the board of directors of a </w:t>
            </w:r>
            <w:r>
              <w:t xml:space="preserve">municipal utility </w:t>
            </w:r>
            <w:r>
              <w:t>district</w:t>
            </w:r>
            <w:r>
              <w:t xml:space="preserve">, as applicable, </w:t>
            </w:r>
            <w:r>
              <w:t xml:space="preserve">if the district maintains a website, </w:t>
            </w:r>
            <w:r>
              <w:t xml:space="preserve">to ensure the following information is posted on </w:t>
            </w:r>
            <w:r>
              <w:t>that</w:t>
            </w:r>
            <w:r>
              <w:t xml:space="preserve"> web</w:t>
            </w:r>
            <w:r>
              <w:t xml:space="preserve">site: </w:t>
            </w:r>
          </w:p>
          <w:p w:rsidR="00967C5B" w:rsidRDefault="00355387" w:rsidP="0056741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link to the district's entry in the database;</w:t>
            </w:r>
          </w:p>
          <w:p w:rsidR="00AD138C" w:rsidRDefault="00355387" w:rsidP="0056741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name </w:t>
            </w:r>
            <w:r>
              <w:t>and term</w:t>
            </w:r>
            <w:r>
              <w:t xml:space="preserve"> for each commissioner or director, as applicable; </w:t>
            </w:r>
          </w:p>
          <w:p w:rsidR="00967C5B" w:rsidRDefault="00355387" w:rsidP="0056741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information required to be provided to the comptroller under the bill's provisions;</w:t>
            </w:r>
          </w:p>
          <w:p w:rsidR="00967C5B" w:rsidRDefault="00355387" w:rsidP="0056741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district's tax rate</w:t>
            </w:r>
            <w:r>
              <w:t xml:space="preserve"> and budget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AD138C" w:rsidRDefault="00355387" w:rsidP="0056741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meet</w:t>
            </w:r>
            <w:r>
              <w:t>ing agendas</w:t>
            </w:r>
            <w:r>
              <w:t xml:space="preserve"> and </w:t>
            </w:r>
            <w:r>
              <w:t>minutes</w:t>
            </w:r>
            <w:r>
              <w:t>.</w:t>
            </w:r>
            <w:r>
              <w:t xml:space="preserve"> </w:t>
            </w:r>
          </w:p>
          <w:p w:rsidR="00F7365A" w:rsidRDefault="00355387" w:rsidP="00567411">
            <w:pPr>
              <w:pStyle w:val="Header"/>
              <w:jc w:val="both"/>
            </w:pPr>
            <w:r>
              <w:t xml:space="preserve">The bill requires </w:t>
            </w:r>
            <w:r>
              <w:t xml:space="preserve">the </w:t>
            </w:r>
            <w:r>
              <w:t>board</w:t>
            </w:r>
            <w:r>
              <w:t>s</w:t>
            </w:r>
            <w:r>
              <w:t xml:space="preserve"> to ensure that the</w:t>
            </w:r>
            <w:r>
              <w:t xml:space="preserve"> respective</w:t>
            </w:r>
            <w:r>
              <w:t xml:space="preserve"> </w:t>
            </w:r>
            <w:r>
              <w:t xml:space="preserve">district's </w:t>
            </w:r>
            <w:r w:rsidRPr="00F7365A">
              <w:t>information</w:t>
            </w:r>
            <w:r>
              <w:t xml:space="preserve"> provided to the comptroller</w:t>
            </w:r>
            <w:r>
              <w:t xml:space="preserve"> and the district</w:t>
            </w:r>
            <w:r>
              <w:t>'s</w:t>
            </w:r>
            <w:r>
              <w:t xml:space="preserve"> </w:t>
            </w:r>
            <w:r w:rsidRPr="00F7365A">
              <w:t xml:space="preserve">tax rate and budget are </w:t>
            </w:r>
            <w:r>
              <w:t>updated</w:t>
            </w:r>
            <w:r w:rsidRPr="00F7365A">
              <w:t xml:space="preserve"> </w:t>
            </w:r>
            <w:r w:rsidRPr="00F7365A">
              <w:t xml:space="preserve">on the </w:t>
            </w:r>
            <w:r w:rsidRPr="00F7365A">
              <w:t>district</w:t>
            </w:r>
            <w:r>
              <w:t>'s</w:t>
            </w:r>
            <w:r w:rsidRPr="00F7365A">
              <w:t xml:space="preserve"> </w:t>
            </w:r>
            <w:r w:rsidRPr="00F7365A">
              <w:t xml:space="preserve">website at least </w:t>
            </w:r>
            <w:r>
              <w:t>90</w:t>
            </w:r>
            <w:r w:rsidRPr="00F7365A">
              <w:t xml:space="preserve"> </w:t>
            </w:r>
            <w:r w:rsidRPr="00F7365A">
              <w:t>days before the date of an elec</w:t>
            </w:r>
            <w:r w:rsidRPr="00F7365A">
              <w:t xml:space="preserve">tion held by </w:t>
            </w:r>
            <w:r>
              <w:t>the</w:t>
            </w:r>
            <w:r w:rsidRPr="00F7365A">
              <w:t xml:space="preserve"> </w:t>
            </w:r>
            <w:r w:rsidRPr="00F7365A">
              <w:t>district</w:t>
            </w:r>
            <w:r>
              <w:t xml:space="preserve">. </w:t>
            </w:r>
            <w:r>
              <w:t>The bill requires a municipal utility district to provide a link to the website or domain name on the first page of each bill sent to a customer and in a prominent location on each electronic bill or receipt sent to a customer.</w:t>
            </w:r>
          </w:p>
          <w:p w:rsidR="003F465E" w:rsidRDefault="00355387" w:rsidP="00567411">
            <w:pPr>
              <w:pStyle w:val="Header"/>
              <w:jc w:val="both"/>
            </w:pPr>
          </w:p>
          <w:p w:rsidR="00CE473B" w:rsidRDefault="00355387" w:rsidP="00567411">
            <w:pPr>
              <w:pStyle w:val="Header"/>
              <w:jc w:val="both"/>
            </w:pPr>
            <w:r w:rsidRPr="003F465E">
              <w:t>C.S.H.B.</w:t>
            </w:r>
            <w:r>
              <w:t xml:space="preserve"> 3727</w:t>
            </w:r>
            <w:r w:rsidRPr="003F465E">
              <w:t xml:space="preserve"> amends the</w:t>
            </w:r>
            <w:r>
              <w:t xml:space="preserve"> Government Code to require </w:t>
            </w:r>
            <w:r>
              <w:t>the Special Purpose District Public Information Database to include</w:t>
            </w:r>
            <w:r>
              <w:t xml:space="preserve"> certain standard </w:t>
            </w:r>
            <w:r>
              <w:t>information on all emergency services districts and municipal utility districts with a population of more than 100</w:t>
            </w:r>
            <w:r>
              <w:t xml:space="preserve">, </w:t>
            </w:r>
            <w:r>
              <w:t>and</w:t>
            </w:r>
            <w:r>
              <w:t xml:space="preserve"> </w:t>
            </w:r>
            <w:r>
              <w:t>the following additional information for those districts</w:t>
            </w:r>
            <w:r>
              <w:t>:</w:t>
            </w:r>
            <w:r w:rsidRPr="003F465E">
              <w:t xml:space="preserve"> </w:t>
            </w:r>
          </w:p>
          <w:p w:rsidR="00CE473B" w:rsidRDefault="00355387" w:rsidP="00567411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3F465E">
              <w:t>an indication of how a person may contact a specified person or address to obtain certain information</w:t>
            </w:r>
            <w:r>
              <w:t xml:space="preserve"> relating to the district board members and </w:t>
            </w:r>
            <w:r>
              <w:t>meetings;</w:t>
            </w:r>
            <w:r w:rsidRPr="003F465E">
              <w:t xml:space="preserve"> </w:t>
            </w:r>
          </w:p>
          <w:p w:rsidR="00432F2B" w:rsidRDefault="00355387" w:rsidP="00567411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3F465E">
              <w:t>the term of each board mem</w:t>
            </w:r>
            <w:r>
              <w:t>ber</w:t>
            </w:r>
            <w:r>
              <w:t xml:space="preserve">; </w:t>
            </w:r>
            <w:r>
              <w:t>and</w:t>
            </w:r>
          </w:p>
          <w:p w:rsidR="003F465E" w:rsidRDefault="00355387" w:rsidP="00567411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</w:t>
            </w:r>
            <w:r>
              <w:t>i</w:t>
            </w:r>
            <w:r>
              <w:t>nformation provided to t</w:t>
            </w:r>
            <w:r w:rsidRPr="003F465E">
              <w:t xml:space="preserve">he comptroller by </w:t>
            </w:r>
            <w:r>
              <w:t>those</w:t>
            </w:r>
            <w:r w:rsidRPr="003F465E">
              <w:t xml:space="preserve"> districts under the bill's provisions.</w:t>
            </w:r>
          </w:p>
          <w:p w:rsidR="008423E4" w:rsidRPr="00835628" w:rsidRDefault="00355387" w:rsidP="00567411">
            <w:pPr>
              <w:rPr>
                <w:b/>
              </w:rPr>
            </w:pPr>
          </w:p>
        </w:tc>
      </w:tr>
      <w:tr w:rsidR="008D19FE" w:rsidTr="00345119">
        <w:tc>
          <w:tcPr>
            <w:tcW w:w="9576" w:type="dxa"/>
          </w:tcPr>
          <w:p w:rsidR="008423E4" w:rsidRPr="00A8133F" w:rsidRDefault="00355387" w:rsidP="005674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5387" w:rsidP="00567411"/>
          <w:p w:rsidR="008423E4" w:rsidRPr="003624F2" w:rsidRDefault="00355387" w:rsidP="005674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355387" w:rsidP="00567411">
            <w:pPr>
              <w:rPr>
                <w:b/>
              </w:rPr>
            </w:pPr>
          </w:p>
        </w:tc>
      </w:tr>
      <w:tr w:rsidR="008D19FE" w:rsidTr="00345119">
        <w:tc>
          <w:tcPr>
            <w:tcW w:w="9576" w:type="dxa"/>
          </w:tcPr>
          <w:p w:rsidR="00310803" w:rsidRDefault="00355387" w:rsidP="005674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450D5" w:rsidRPr="00310803" w:rsidRDefault="00355387" w:rsidP="00567411">
            <w:pPr>
              <w:jc w:val="both"/>
              <w:rPr>
                <w:b/>
                <w:u w:val="single"/>
              </w:rPr>
            </w:pPr>
          </w:p>
          <w:p w:rsidR="00310803" w:rsidRDefault="00355387" w:rsidP="00567411">
            <w:pPr>
              <w:jc w:val="both"/>
            </w:pPr>
            <w:r>
              <w:t xml:space="preserve">While C.S.H.B. 3727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310803" w:rsidRDefault="00355387" w:rsidP="00567411">
            <w:pPr>
              <w:jc w:val="both"/>
            </w:pPr>
          </w:p>
          <w:p w:rsidR="00426BB1" w:rsidRDefault="00355387" w:rsidP="00567411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provisions requiring the inclusion of </w:t>
            </w:r>
            <w:r>
              <w:t xml:space="preserve">certain information </w:t>
            </w:r>
            <w:r>
              <w:t xml:space="preserve">on all emergency services districts and municipal </w:t>
            </w:r>
            <w:r>
              <w:t>utility districts with a population of more than 100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>
              <w:t>Special Purpose District Public Information Database</w:t>
            </w:r>
            <w:r>
              <w:t xml:space="preserve">. </w:t>
            </w:r>
            <w:r>
              <w:t xml:space="preserve">The substitute includes requirements for </w:t>
            </w:r>
            <w:r>
              <w:t xml:space="preserve">such </w:t>
            </w:r>
            <w:r>
              <w:t>districts to annually provide to the comptroller for inclusion in the database certain informati</w:t>
            </w:r>
            <w:r>
              <w:t xml:space="preserve">on relating to </w:t>
            </w:r>
            <w:r>
              <w:t>the appointment or election of the district's commissioners or directors</w:t>
            </w:r>
            <w:r>
              <w:t>, as applicable</w:t>
            </w:r>
            <w:r>
              <w:t>.</w:t>
            </w:r>
            <w:r>
              <w:t xml:space="preserve"> </w:t>
            </w:r>
          </w:p>
          <w:p w:rsidR="00426BB1" w:rsidRDefault="00355387" w:rsidP="00567411">
            <w:pPr>
              <w:jc w:val="both"/>
            </w:pPr>
          </w:p>
          <w:p w:rsidR="00C87BE1" w:rsidRDefault="00355387" w:rsidP="00567411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an option for </w:t>
            </w:r>
            <w:r>
              <w:t xml:space="preserve">such </w:t>
            </w:r>
            <w:r>
              <w:t>a district to maintain a</w:t>
            </w:r>
            <w:r>
              <w:t>n Internet</w:t>
            </w:r>
            <w:r>
              <w:t xml:space="preserve"> domain name</w:t>
            </w:r>
            <w:r>
              <w:t xml:space="preserve"> that meets specified criteria</w:t>
            </w:r>
            <w:r>
              <w:t xml:space="preserve"> as an alternative to maintaini</w:t>
            </w:r>
            <w:r>
              <w:t>ng a website and revises the information required to be posted on such a website</w:t>
            </w:r>
            <w:r>
              <w:t>, if maintained</w:t>
            </w:r>
            <w:r>
              <w:t>.</w:t>
            </w:r>
            <w:r>
              <w:t xml:space="preserve"> </w:t>
            </w:r>
            <w:r>
              <w:t>The substitute</w:t>
            </w:r>
            <w:r>
              <w:t xml:space="preserve"> </w:t>
            </w:r>
            <w:r>
              <w:t>does not include a</w:t>
            </w:r>
            <w:r>
              <w:t xml:space="preserve"> </w:t>
            </w:r>
            <w:r>
              <w:t xml:space="preserve">deadline by which an applicable board </w:t>
            </w:r>
            <w:r>
              <w:t xml:space="preserve">is required to ensure that </w:t>
            </w:r>
            <w:r>
              <w:t>such information is posted on the district's website</w:t>
            </w:r>
            <w:r>
              <w:t>,</w:t>
            </w:r>
            <w:r>
              <w:t xml:space="preserve"> but th</w:t>
            </w:r>
            <w:r>
              <w:t xml:space="preserve">e substitute includes a deadline by which such a board is required to ensure that </w:t>
            </w:r>
            <w:r>
              <w:t xml:space="preserve">certain </w:t>
            </w:r>
            <w:r>
              <w:t xml:space="preserve">of that </w:t>
            </w:r>
            <w:r>
              <w:t>information is</w:t>
            </w:r>
            <w:r>
              <w:t xml:space="preserve"> updated</w:t>
            </w:r>
            <w:r>
              <w:t xml:space="preserve"> on the district's website.</w:t>
            </w:r>
          </w:p>
          <w:p w:rsidR="00A067E0" w:rsidRDefault="00355387" w:rsidP="00567411">
            <w:pPr>
              <w:jc w:val="both"/>
            </w:pPr>
          </w:p>
          <w:p w:rsidR="00310803" w:rsidRPr="00310803" w:rsidRDefault="00355387" w:rsidP="00567411">
            <w:pPr>
              <w:jc w:val="both"/>
            </w:pPr>
            <w:r>
              <w:t xml:space="preserve">The substitute includes a requirement for a municipal utility district to provide a link to the </w:t>
            </w:r>
            <w:r>
              <w:t xml:space="preserve">district's </w:t>
            </w:r>
            <w:r>
              <w:t>website or domain name on each bill</w:t>
            </w:r>
            <w:r>
              <w:t xml:space="preserve"> or receipt</w:t>
            </w:r>
            <w:r>
              <w:t xml:space="preserve"> sent to a customer.</w:t>
            </w:r>
          </w:p>
        </w:tc>
      </w:tr>
      <w:tr w:rsidR="008D19FE" w:rsidTr="00345119">
        <w:tc>
          <w:tcPr>
            <w:tcW w:w="9576" w:type="dxa"/>
          </w:tcPr>
          <w:p w:rsidR="00C758FA" w:rsidRPr="009C1E9A" w:rsidRDefault="00355387" w:rsidP="00567411">
            <w:pPr>
              <w:rPr>
                <w:b/>
                <w:u w:val="single"/>
              </w:rPr>
            </w:pPr>
          </w:p>
        </w:tc>
      </w:tr>
      <w:tr w:rsidR="008D19FE" w:rsidTr="00345119">
        <w:tc>
          <w:tcPr>
            <w:tcW w:w="9576" w:type="dxa"/>
          </w:tcPr>
          <w:p w:rsidR="00C758FA" w:rsidRPr="00C758FA" w:rsidRDefault="00355387" w:rsidP="00567411">
            <w:pPr>
              <w:jc w:val="both"/>
            </w:pPr>
          </w:p>
        </w:tc>
      </w:tr>
    </w:tbl>
    <w:p w:rsidR="008423E4" w:rsidRPr="00BE0E75" w:rsidRDefault="003553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53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5387">
      <w:r>
        <w:separator/>
      </w:r>
    </w:p>
  </w:endnote>
  <w:endnote w:type="continuationSeparator" w:id="0">
    <w:p w:rsidR="00000000" w:rsidRDefault="003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5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19FE" w:rsidTr="009C1E9A">
      <w:trPr>
        <w:cantSplit/>
      </w:trPr>
      <w:tc>
        <w:tcPr>
          <w:tcW w:w="0" w:type="pct"/>
        </w:tcPr>
        <w:p w:rsidR="00137D90" w:rsidRDefault="00355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53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53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5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5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19FE" w:rsidTr="009C1E9A">
      <w:trPr>
        <w:cantSplit/>
      </w:trPr>
      <w:tc>
        <w:tcPr>
          <w:tcW w:w="0" w:type="pct"/>
        </w:tcPr>
        <w:p w:rsidR="00EC379B" w:rsidRDefault="00355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53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31913</w:t>
          </w:r>
        </w:p>
      </w:tc>
      <w:tc>
        <w:tcPr>
          <w:tcW w:w="2453" w:type="pct"/>
        </w:tcPr>
        <w:p w:rsidR="00EC379B" w:rsidRDefault="00355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19.124.87</w:t>
          </w:r>
          <w:r>
            <w:fldChar w:fldCharType="end"/>
          </w:r>
        </w:p>
      </w:tc>
    </w:tr>
    <w:tr w:rsidR="008D19FE" w:rsidTr="009C1E9A">
      <w:trPr>
        <w:cantSplit/>
      </w:trPr>
      <w:tc>
        <w:tcPr>
          <w:tcW w:w="0" w:type="pct"/>
        </w:tcPr>
        <w:p w:rsidR="00EC379B" w:rsidRDefault="003553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53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28140</w:t>
          </w:r>
        </w:p>
      </w:tc>
      <w:tc>
        <w:tcPr>
          <w:tcW w:w="2453" w:type="pct"/>
        </w:tcPr>
        <w:p w:rsidR="00EC379B" w:rsidRDefault="00355387" w:rsidP="006D504F">
          <w:pPr>
            <w:pStyle w:val="Footer"/>
            <w:rPr>
              <w:rStyle w:val="PageNumber"/>
            </w:rPr>
          </w:pPr>
        </w:p>
        <w:p w:rsidR="00EC379B" w:rsidRDefault="00355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19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53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553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53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5387">
      <w:r>
        <w:separator/>
      </w:r>
    </w:p>
  </w:footnote>
  <w:footnote w:type="continuationSeparator" w:id="0">
    <w:p w:rsidR="00000000" w:rsidRDefault="0035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5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5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5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1D5"/>
    <w:multiLevelType w:val="hybridMultilevel"/>
    <w:tmpl w:val="86642042"/>
    <w:lvl w:ilvl="0" w:tplc="CF70B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A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6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E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23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A4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8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0B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789"/>
    <w:multiLevelType w:val="hybridMultilevel"/>
    <w:tmpl w:val="8D08DD0A"/>
    <w:lvl w:ilvl="0" w:tplc="72C21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6E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08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0D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5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2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E4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1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2B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79D3"/>
    <w:multiLevelType w:val="hybridMultilevel"/>
    <w:tmpl w:val="CBFAE3E0"/>
    <w:lvl w:ilvl="0" w:tplc="857EA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64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5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D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A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44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44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87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A8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E"/>
    <w:rsid w:val="00355387"/>
    <w:rsid w:val="008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F23D4E-95DA-4BD3-BDCA-4C35C74C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6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6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65A"/>
    <w:rPr>
      <w:b/>
      <w:bCs/>
    </w:rPr>
  </w:style>
  <w:style w:type="paragraph" w:styleId="Revision">
    <w:name w:val="Revision"/>
    <w:hidden/>
    <w:uiPriority w:val="99"/>
    <w:semiHidden/>
    <w:rsid w:val="00E10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4569</Characters>
  <Application>Microsoft Office Word</Application>
  <DocSecurity>4</DocSecurity>
  <Lines>101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HB03727 (Committee Report (Substituted))</vt:lpstr>
    </vt:vector>
  </TitlesOfParts>
  <Company>State of Texas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31913</dc:subject>
  <dc:creator>State of Texas</dc:creator>
  <dc:description>HB 3727 by Swanson-(H)County Affairs (Substitute Document Number: 86R 28140)</dc:description>
  <cp:lastModifiedBy>Scotty Wimberley</cp:lastModifiedBy>
  <cp:revision>2</cp:revision>
  <cp:lastPrinted>2003-11-26T17:21:00Z</cp:lastPrinted>
  <dcterms:created xsi:type="dcterms:W3CDTF">2019-05-08T23:02:00Z</dcterms:created>
  <dcterms:modified xsi:type="dcterms:W3CDTF">2019-05-08T23:02:00Z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19.124.87</vt:lpwstr>
  </property>
</Properties>
</file>