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3FA0" w:rsidTr="00345119">
        <w:tc>
          <w:tcPr>
            <w:tcW w:w="9576" w:type="dxa"/>
            <w:noWrap/>
          </w:tcPr>
          <w:p w:rsidR="008423E4" w:rsidRPr="0022177D" w:rsidRDefault="00A91A7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1A7C" w:rsidP="008423E4">
      <w:pPr>
        <w:jc w:val="center"/>
      </w:pPr>
    </w:p>
    <w:p w:rsidR="008423E4" w:rsidRPr="00B31F0E" w:rsidRDefault="00A91A7C" w:rsidP="008423E4"/>
    <w:p w:rsidR="008423E4" w:rsidRPr="00742794" w:rsidRDefault="00A91A7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3FA0" w:rsidTr="00345119">
        <w:tc>
          <w:tcPr>
            <w:tcW w:w="9576" w:type="dxa"/>
          </w:tcPr>
          <w:p w:rsidR="008423E4" w:rsidRPr="00861995" w:rsidRDefault="00A91A7C" w:rsidP="00345119">
            <w:pPr>
              <w:jc w:val="right"/>
            </w:pPr>
            <w:r>
              <w:t>C.S.H.B. 3787</w:t>
            </w:r>
          </w:p>
        </w:tc>
      </w:tr>
      <w:tr w:rsidR="00833FA0" w:rsidTr="00345119">
        <w:tc>
          <w:tcPr>
            <w:tcW w:w="9576" w:type="dxa"/>
          </w:tcPr>
          <w:p w:rsidR="008423E4" w:rsidRPr="00861995" w:rsidRDefault="00A91A7C" w:rsidP="00B56FAF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833FA0" w:rsidTr="00345119">
        <w:tc>
          <w:tcPr>
            <w:tcW w:w="9576" w:type="dxa"/>
          </w:tcPr>
          <w:p w:rsidR="008423E4" w:rsidRPr="00861995" w:rsidRDefault="00A91A7C" w:rsidP="00345119">
            <w:pPr>
              <w:jc w:val="right"/>
            </w:pPr>
            <w:r>
              <w:t>Ways &amp; Means</w:t>
            </w:r>
          </w:p>
        </w:tc>
      </w:tr>
      <w:tr w:rsidR="00833FA0" w:rsidTr="00345119">
        <w:tc>
          <w:tcPr>
            <w:tcW w:w="9576" w:type="dxa"/>
          </w:tcPr>
          <w:p w:rsidR="008423E4" w:rsidRDefault="00A91A7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91A7C" w:rsidP="008423E4">
      <w:pPr>
        <w:tabs>
          <w:tab w:val="right" w:pos="9360"/>
        </w:tabs>
      </w:pPr>
    </w:p>
    <w:p w:rsidR="008423E4" w:rsidRDefault="00A91A7C" w:rsidP="008423E4"/>
    <w:p w:rsidR="008423E4" w:rsidRDefault="00A91A7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3FA0" w:rsidTr="00345119">
        <w:tc>
          <w:tcPr>
            <w:tcW w:w="9576" w:type="dxa"/>
          </w:tcPr>
          <w:p w:rsidR="008423E4" w:rsidRPr="00A8133F" w:rsidRDefault="00A91A7C" w:rsidP="00B33D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1A7C" w:rsidP="00B33D45"/>
          <w:p w:rsidR="008423E4" w:rsidRDefault="00A91A7C" w:rsidP="00B33D45">
            <w:pPr>
              <w:pStyle w:val="Header"/>
              <w:jc w:val="both"/>
            </w:pPr>
            <w:r>
              <w:t xml:space="preserve">It has been suggested that certain aspects of state law imposing the sales and use tax are unclear regarding </w:t>
            </w:r>
            <w:r>
              <w:t>which</w:t>
            </w:r>
            <w:r>
              <w:t xml:space="preserve"> sales of goods and services are considered sales for resale and thus exempt from the sales and use tax.</w:t>
            </w:r>
            <w:r>
              <w:t xml:space="preserve"> C.S.</w:t>
            </w:r>
            <w:r>
              <w:t>H.B. 3787 seeks to address this issue by clarifying the application of the sales and use tax to certain property and services.</w:t>
            </w:r>
          </w:p>
          <w:p w:rsidR="008423E4" w:rsidRPr="00E26B13" w:rsidRDefault="00A91A7C" w:rsidP="00B33D45">
            <w:pPr>
              <w:rPr>
                <w:b/>
              </w:rPr>
            </w:pPr>
          </w:p>
        </w:tc>
      </w:tr>
      <w:tr w:rsidR="00833FA0" w:rsidTr="00345119">
        <w:tc>
          <w:tcPr>
            <w:tcW w:w="9576" w:type="dxa"/>
          </w:tcPr>
          <w:p w:rsidR="0017725B" w:rsidRDefault="00A91A7C" w:rsidP="00B33D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A91A7C" w:rsidP="00B33D45">
            <w:pPr>
              <w:rPr>
                <w:b/>
                <w:u w:val="single"/>
              </w:rPr>
            </w:pPr>
          </w:p>
          <w:p w:rsidR="006941D7" w:rsidRPr="006941D7" w:rsidRDefault="00A91A7C" w:rsidP="00B33D4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A91A7C" w:rsidP="00B33D45">
            <w:pPr>
              <w:rPr>
                <w:b/>
                <w:u w:val="single"/>
              </w:rPr>
            </w:pPr>
          </w:p>
        </w:tc>
      </w:tr>
      <w:tr w:rsidR="00833FA0" w:rsidTr="00345119">
        <w:tc>
          <w:tcPr>
            <w:tcW w:w="9576" w:type="dxa"/>
          </w:tcPr>
          <w:p w:rsidR="008423E4" w:rsidRPr="00A8133F" w:rsidRDefault="00A91A7C" w:rsidP="00B33D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1A7C" w:rsidP="00B33D45"/>
          <w:p w:rsidR="006941D7" w:rsidRDefault="00A91A7C" w:rsidP="00B33D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91A7C" w:rsidP="00B33D45">
            <w:pPr>
              <w:rPr>
                <w:b/>
              </w:rPr>
            </w:pPr>
          </w:p>
        </w:tc>
      </w:tr>
      <w:tr w:rsidR="00833FA0" w:rsidTr="00345119">
        <w:tc>
          <w:tcPr>
            <w:tcW w:w="9576" w:type="dxa"/>
          </w:tcPr>
          <w:p w:rsidR="008423E4" w:rsidRPr="00A8133F" w:rsidRDefault="00A91A7C" w:rsidP="00B33D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1A7C" w:rsidP="00B33D45"/>
          <w:p w:rsidR="000024DE" w:rsidRDefault="00A91A7C" w:rsidP="00B33D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3787 </w:t>
            </w:r>
            <w:r>
              <w:t>amends the Tax Code</w:t>
            </w:r>
            <w:r>
              <w:t xml:space="preserve"> to</w:t>
            </w:r>
            <w:r>
              <w:t xml:space="preserve"> clarify that "sale for resale" under the Limited Sales, Excise, and Use Tax Act includes</w:t>
            </w:r>
            <w:r>
              <w:t xml:space="preserve"> </w:t>
            </w:r>
            <w:r w:rsidRPr="00E33415">
              <w:t>tangible personal property or a taxable service to a purchaser who acquires the property or service for the purpose of transferring it as an integral part of perfo</w:t>
            </w:r>
            <w:r w:rsidRPr="00E33415">
              <w:t>rming a contract, or a subcontract of a contract, for the sale</w:t>
            </w:r>
            <w:r>
              <w:t>, other than the lease or rental,</w:t>
            </w:r>
            <w:r w:rsidRPr="00E33415">
              <w:t xml:space="preserve"> of tangible personal property </w:t>
            </w:r>
            <w:r>
              <w:t xml:space="preserve">with a governmental </w:t>
            </w:r>
            <w:r w:rsidRPr="00E33415">
              <w:t>entity or</w:t>
            </w:r>
            <w:r>
              <w:t xml:space="preserve"> a</w:t>
            </w:r>
            <w:r w:rsidRPr="00E33415">
              <w:t xml:space="preserve"> </w:t>
            </w:r>
            <w:r>
              <w:t xml:space="preserve">religious, educational, or public service </w:t>
            </w:r>
            <w:r w:rsidRPr="00E33415">
              <w:t xml:space="preserve">organization </w:t>
            </w:r>
            <w:r>
              <w:t>exempted from the sales tax under the act o</w:t>
            </w:r>
            <w:r>
              <w:t>nly if the purchaser allocates and bills to the contract the cost of the property or service as a direct or indirect cost and transfers title to the property to the exempt entity or organization under the contract and any applicable acquisition regulations</w:t>
            </w:r>
            <w:r>
              <w:t xml:space="preserve">. </w:t>
            </w:r>
            <w:r>
              <w:t>The bill establishes that a sale for resale</w:t>
            </w:r>
            <w:r w:rsidRPr="00813069">
              <w:t xml:space="preserve"> does not include the sale of tangible personal property to a purchaser who acquires the property for the purpose of using, consuming, or expending it in, or incorporating it into, an oil or gas well in the perf</w:t>
            </w:r>
            <w:r w:rsidRPr="00813069">
              <w:t>ormance of a</w:t>
            </w:r>
            <w:r>
              <w:t xml:space="preserve"> taxable</w:t>
            </w:r>
            <w:r w:rsidRPr="00813069">
              <w:t xml:space="preserve"> oil well service.</w:t>
            </w:r>
            <w:r>
              <w:t xml:space="preserve"> </w:t>
            </w:r>
          </w:p>
          <w:p w:rsidR="000024DE" w:rsidRPr="00010BD9" w:rsidRDefault="00A91A7C" w:rsidP="00B33D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0024DE" w:rsidRDefault="00A91A7C" w:rsidP="00B33D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3787 includes as a requisite condition for </w:t>
            </w:r>
            <w:r w:rsidRPr="00813069">
              <w:t xml:space="preserve">labor to repair, remodel, maintain, or restore tangible </w:t>
            </w:r>
            <w:r>
              <w:t xml:space="preserve">personal property to be exempt from </w:t>
            </w:r>
            <w:r>
              <w:t xml:space="preserve">the sales and use </w:t>
            </w:r>
            <w:r>
              <w:t>tax</w:t>
            </w:r>
            <w:r>
              <w:t xml:space="preserve"> the</w:t>
            </w:r>
            <w:r>
              <w:t xml:space="preserve"> itemization of the charge for the labor separ</w:t>
            </w:r>
            <w:r>
              <w:t>ately from the charge for materials furnished</w:t>
            </w:r>
            <w:r w:rsidRPr="00813069">
              <w:t xml:space="preserve">. The bill </w:t>
            </w:r>
            <w:r>
              <w:t>makes</w:t>
            </w:r>
            <w:r w:rsidRPr="00813069">
              <w:t xml:space="preserve"> </w:t>
            </w:r>
            <w:r>
              <w:t>such an</w:t>
            </w:r>
            <w:r w:rsidRPr="00813069">
              <w:t xml:space="preserve"> </w:t>
            </w:r>
            <w:r w:rsidRPr="00813069">
              <w:t xml:space="preserve">exemption </w:t>
            </w:r>
            <w:r>
              <w:t>inapplicable</w:t>
            </w:r>
            <w:r w:rsidRPr="00813069">
              <w:t xml:space="preserve"> to the charge for materials furnished by the service provider to the purchaser as part of the service. The bill exempts 65 percent of a lump-sum charge for </w:t>
            </w:r>
            <w:r>
              <w:t xml:space="preserve">such </w:t>
            </w:r>
            <w:r w:rsidRPr="00813069">
              <w:t>la</w:t>
            </w:r>
            <w:r w:rsidRPr="00813069">
              <w:t>bor and materials from</w:t>
            </w:r>
            <w:r>
              <w:t xml:space="preserve"> the</w:t>
            </w:r>
            <w:r w:rsidRPr="00813069">
              <w:t xml:space="preserve"> sales and use tax if the repair, remodeling, maintenance, or restoration is required </w:t>
            </w:r>
            <w:r>
              <w:t>to protect the environment or to conserve energy</w:t>
            </w:r>
            <w:r w:rsidRPr="00813069">
              <w:t xml:space="preserve"> and the labor and materials are purchased for a health care facility or for an oncology center.</w:t>
            </w:r>
            <w:r>
              <w:t xml:space="preserve"> The bill repeals the exemption </w:t>
            </w:r>
            <w:r>
              <w:t xml:space="preserve">from the sales and use tax </w:t>
            </w:r>
            <w:r>
              <w:t xml:space="preserve">for amusement and personal services provided through coin-operated machines that are operated by the consumer and </w:t>
            </w:r>
            <w:r>
              <w:t>excludes such operation from</w:t>
            </w:r>
            <w:r>
              <w:t xml:space="preserve"> "amusement services" and "personal services</w:t>
            </w:r>
            <w:r>
              <w:t>" for purpo</w:t>
            </w:r>
            <w:r>
              <w:t>ses of the act.</w:t>
            </w:r>
            <w:r>
              <w:t xml:space="preserve"> </w:t>
            </w:r>
            <w:r>
              <w:t>The bill</w:t>
            </w:r>
            <w:r>
              <w:t xml:space="preserve"> establishes that its </w:t>
            </w:r>
            <w:r>
              <w:t>provisions are a clarification of existing law and do not imply that existing law may be construed as inconsistent with the law as amended by the bill.</w:t>
            </w:r>
          </w:p>
          <w:p w:rsidR="00813069" w:rsidRDefault="00A91A7C" w:rsidP="00B33D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13069" w:rsidRDefault="00A91A7C" w:rsidP="00B33D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3787 repeals </w:t>
            </w:r>
            <w:r w:rsidRPr="00813069">
              <w:t>Section 151.335, Tax Code.</w:t>
            </w:r>
            <w:r>
              <w:t xml:space="preserve">  </w:t>
            </w:r>
          </w:p>
          <w:p w:rsidR="008423E4" w:rsidRPr="00835628" w:rsidRDefault="00A91A7C" w:rsidP="00B33D45">
            <w:pPr>
              <w:rPr>
                <w:b/>
              </w:rPr>
            </w:pPr>
          </w:p>
        </w:tc>
      </w:tr>
      <w:tr w:rsidR="00833FA0" w:rsidTr="00345119">
        <w:tc>
          <w:tcPr>
            <w:tcW w:w="9576" w:type="dxa"/>
          </w:tcPr>
          <w:p w:rsidR="008423E4" w:rsidRPr="00A8133F" w:rsidRDefault="00A91A7C" w:rsidP="00B33D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Default="00A91A7C" w:rsidP="00B33D45"/>
          <w:p w:rsidR="008423E4" w:rsidRPr="003624F2" w:rsidRDefault="00A91A7C" w:rsidP="00B33D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 xml:space="preserve">October </w:t>
            </w:r>
            <w:r>
              <w:t>1, 2019.</w:t>
            </w:r>
          </w:p>
          <w:p w:rsidR="008423E4" w:rsidRPr="00233FDB" w:rsidRDefault="00A91A7C" w:rsidP="00B33D45">
            <w:pPr>
              <w:rPr>
                <w:b/>
              </w:rPr>
            </w:pPr>
          </w:p>
        </w:tc>
      </w:tr>
      <w:tr w:rsidR="00833FA0" w:rsidTr="00345119">
        <w:tc>
          <w:tcPr>
            <w:tcW w:w="9576" w:type="dxa"/>
          </w:tcPr>
          <w:p w:rsidR="00B56FAF" w:rsidRDefault="00A91A7C" w:rsidP="00B33D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64126" w:rsidRDefault="00A91A7C" w:rsidP="00B33D45">
            <w:pPr>
              <w:jc w:val="both"/>
            </w:pPr>
          </w:p>
          <w:p w:rsidR="00464126" w:rsidRDefault="00A91A7C" w:rsidP="00B33D45">
            <w:pPr>
              <w:jc w:val="both"/>
            </w:pPr>
            <w:r>
              <w:t xml:space="preserve">While C.S.H.B. 3787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464126" w:rsidRDefault="00A91A7C" w:rsidP="00B33D45">
            <w:pPr>
              <w:jc w:val="both"/>
            </w:pPr>
          </w:p>
          <w:p w:rsidR="00464126" w:rsidRDefault="00A91A7C" w:rsidP="00B33D45">
            <w:pPr>
              <w:jc w:val="both"/>
            </w:pPr>
            <w:r>
              <w:t>The substitute does not include</w:t>
            </w:r>
            <w:r>
              <w:t xml:space="preserve"> a clarification that "amusement services"</w:t>
            </w:r>
            <w:r>
              <w:t xml:space="preserve"> include</w:t>
            </w:r>
            <w:r>
              <w:t>s</w:t>
            </w:r>
            <w:r>
              <w:t xml:space="preserve"> an admission or ticket to an amusement service. </w:t>
            </w:r>
          </w:p>
          <w:p w:rsidR="00464126" w:rsidRDefault="00A91A7C" w:rsidP="00B33D45">
            <w:pPr>
              <w:jc w:val="both"/>
            </w:pPr>
          </w:p>
          <w:p w:rsidR="00464126" w:rsidRDefault="00A91A7C" w:rsidP="00B33D45">
            <w:pPr>
              <w:jc w:val="both"/>
            </w:pPr>
            <w:r>
              <w:t xml:space="preserve">The substitute </w:t>
            </w:r>
            <w:r>
              <w:t>does not incl</w:t>
            </w:r>
            <w:r>
              <w:t xml:space="preserve">ude </w:t>
            </w:r>
            <w:r>
              <w:t xml:space="preserve">a </w:t>
            </w:r>
            <w:r>
              <w:t xml:space="preserve">provision </w:t>
            </w:r>
            <w:r>
              <w:t xml:space="preserve">establishing that a </w:t>
            </w:r>
            <w:r>
              <w:t>taxable service</w:t>
            </w:r>
            <w:r>
              <w:t xml:space="preserve"> used to perform a taxable service is not </w:t>
            </w:r>
            <w:r>
              <w:t>considered resold</w:t>
            </w:r>
            <w:r>
              <w:t xml:space="preserve"> unless the purchaser acquires the service for the purpose of transferring it as an integral part of performing a taxable service</w:t>
            </w:r>
            <w:r>
              <w:t xml:space="preserve">. </w:t>
            </w:r>
          </w:p>
          <w:p w:rsidR="00D539B0" w:rsidRDefault="00A91A7C" w:rsidP="00B33D45">
            <w:pPr>
              <w:jc w:val="both"/>
            </w:pPr>
          </w:p>
          <w:p w:rsidR="00D539B0" w:rsidRDefault="00A91A7C" w:rsidP="00B33D45">
            <w:pPr>
              <w:jc w:val="both"/>
            </w:pPr>
            <w:r>
              <w:t>The substitut</w:t>
            </w:r>
            <w:r>
              <w:t xml:space="preserve">e </w:t>
            </w:r>
            <w:r>
              <w:t xml:space="preserve">includes </w:t>
            </w:r>
            <w:r>
              <w:t>a</w:t>
            </w:r>
            <w:r>
              <w:t xml:space="preserve"> specification that a contract for the sale of tangible personal property that constitutes a "sale for resale" </w:t>
            </w:r>
            <w:r>
              <w:t>excludes</w:t>
            </w:r>
            <w:r>
              <w:t xml:space="preserve"> the</w:t>
            </w:r>
            <w:r>
              <w:t xml:space="preserve"> lease or rental of </w:t>
            </w:r>
            <w:r>
              <w:t xml:space="preserve">that </w:t>
            </w:r>
            <w:r>
              <w:t xml:space="preserve">property. </w:t>
            </w:r>
          </w:p>
          <w:p w:rsidR="00464126" w:rsidRPr="00464126" w:rsidRDefault="00A91A7C" w:rsidP="00B33D45">
            <w:pPr>
              <w:jc w:val="both"/>
            </w:pPr>
          </w:p>
        </w:tc>
      </w:tr>
      <w:tr w:rsidR="00833FA0" w:rsidTr="00345119">
        <w:tc>
          <w:tcPr>
            <w:tcW w:w="9576" w:type="dxa"/>
          </w:tcPr>
          <w:p w:rsidR="00B56FAF" w:rsidRPr="009C1E9A" w:rsidRDefault="00A91A7C" w:rsidP="00B33D45">
            <w:pPr>
              <w:rPr>
                <w:b/>
                <w:u w:val="single"/>
              </w:rPr>
            </w:pPr>
          </w:p>
        </w:tc>
      </w:tr>
      <w:tr w:rsidR="00833FA0" w:rsidTr="00345119">
        <w:tc>
          <w:tcPr>
            <w:tcW w:w="9576" w:type="dxa"/>
          </w:tcPr>
          <w:p w:rsidR="00B56FAF" w:rsidRPr="00B56FAF" w:rsidRDefault="00A91A7C" w:rsidP="00B33D45">
            <w:pPr>
              <w:jc w:val="both"/>
            </w:pPr>
          </w:p>
        </w:tc>
      </w:tr>
    </w:tbl>
    <w:p w:rsidR="008423E4" w:rsidRPr="00BE0E75" w:rsidRDefault="00A91A7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1A7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1A7C">
      <w:r>
        <w:separator/>
      </w:r>
    </w:p>
  </w:endnote>
  <w:endnote w:type="continuationSeparator" w:id="0">
    <w:p w:rsidR="00000000" w:rsidRDefault="00A9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1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3FA0" w:rsidTr="009C1E9A">
      <w:trPr>
        <w:cantSplit/>
      </w:trPr>
      <w:tc>
        <w:tcPr>
          <w:tcW w:w="0" w:type="pct"/>
        </w:tcPr>
        <w:p w:rsidR="00137D90" w:rsidRDefault="00A91A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1A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1A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1A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1A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3FA0" w:rsidTr="009C1E9A">
      <w:trPr>
        <w:cantSplit/>
      </w:trPr>
      <w:tc>
        <w:tcPr>
          <w:tcW w:w="0" w:type="pct"/>
        </w:tcPr>
        <w:p w:rsidR="00EC379B" w:rsidRDefault="00A91A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1A7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27965</w:t>
          </w:r>
        </w:p>
      </w:tc>
      <w:tc>
        <w:tcPr>
          <w:tcW w:w="2453" w:type="pct"/>
        </w:tcPr>
        <w:p w:rsidR="00EC379B" w:rsidRDefault="00A91A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19.107.1220</w:t>
          </w:r>
          <w:r>
            <w:fldChar w:fldCharType="end"/>
          </w:r>
        </w:p>
      </w:tc>
    </w:tr>
    <w:tr w:rsidR="00833FA0" w:rsidTr="009C1E9A">
      <w:trPr>
        <w:cantSplit/>
      </w:trPr>
      <w:tc>
        <w:tcPr>
          <w:tcW w:w="0" w:type="pct"/>
        </w:tcPr>
        <w:p w:rsidR="00EC379B" w:rsidRDefault="00A91A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1A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23025</w:t>
          </w:r>
        </w:p>
      </w:tc>
      <w:tc>
        <w:tcPr>
          <w:tcW w:w="2453" w:type="pct"/>
        </w:tcPr>
        <w:p w:rsidR="00EC379B" w:rsidRDefault="00A91A7C" w:rsidP="006D504F">
          <w:pPr>
            <w:pStyle w:val="Footer"/>
            <w:rPr>
              <w:rStyle w:val="PageNumber"/>
            </w:rPr>
          </w:pPr>
        </w:p>
        <w:p w:rsidR="00EC379B" w:rsidRDefault="00A91A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3F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1A7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91A7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1A7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1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1A7C">
      <w:r>
        <w:separator/>
      </w:r>
    </w:p>
  </w:footnote>
  <w:footnote w:type="continuationSeparator" w:id="0">
    <w:p w:rsidR="00000000" w:rsidRDefault="00A9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1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1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1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3D29"/>
    <w:multiLevelType w:val="hybridMultilevel"/>
    <w:tmpl w:val="0DB8D12A"/>
    <w:lvl w:ilvl="0" w:tplc="BF06D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AB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8A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64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47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5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44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44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05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A0"/>
    <w:rsid w:val="00833FA0"/>
    <w:rsid w:val="00A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BD8C03-25CF-4379-8D43-4858E0D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30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3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30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3518</Characters>
  <Application>Microsoft Office Word</Application>
  <DocSecurity>4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HB03787 (Committee Report (Substituted))</vt:lpstr>
    </vt:vector>
  </TitlesOfParts>
  <Company>State of Texas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27965</dc:subject>
  <dc:creator>State of Texas</dc:creator>
  <dc:description>HB 3787 by Sanford-(H)Ways &amp; Means (Substitute Document Number: 86R 23025)</dc:description>
  <cp:lastModifiedBy>Stacey Nicchio</cp:lastModifiedBy>
  <cp:revision>2</cp:revision>
  <cp:lastPrinted>2003-11-26T17:21:00Z</cp:lastPrinted>
  <dcterms:created xsi:type="dcterms:W3CDTF">2019-04-18T22:52:00Z</dcterms:created>
  <dcterms:modified xsi:type="dcterms:W3CDTF">2019-04-18T22:52:00Z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19.107.1220</vt:lpwstr>
  </property>
</Properties>
</file>