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318E2" w:rsidTr="00345119">
        <w:tc>
          <w:tcPr>
            <w:tcW w:w="9576" w:type="dxa"/>
            <w:noWrap/>
          </w:tcPr>
          <w:p w:rsidR="008423E4" w:rsidRPr="0022177D" w:rsidRDefault="00A130A6" w:rsidP="00345119">
            <w:pPr>
              <w:pStyle w:val="Heading1"/>
            </w:pPr>
            <w:bookmarkStart w:id="0" w:name="_GoBack"/>
            <w:bookmarkEnd w:id="0"/>
            <w:r w:rsidRPr="00631897">
              <w:t>BILL ANALYSIS</w:t>
            </w:r>
          </w:p>
        </w:tc>
      </w:tr>
    </w:tbl>
    <w:p w:rsidR="008423E4" w:rsidRPr="0022177D" w:rsidRDefault="00A130A6" w:rsidP="008423E4">
      <w:pPr>
        <w:jc w:val="center"/>
      </w:pPr>
    </w:p>
    <w:p w:rsidR="008423E4" w:rsidRPr="0024070F" w:rsidRDefault="00A130A6" w:rsidP="008423E4">
      <w:pPr>
        <w:rPr>
          <w:sz w:val="22"/>
        </w:rPr>
      </w:pPr>
    </w:p>
    <w:p w:rsidR="008423E4" w:rsidRPr="0024070F" w:rsidRDefault="00A130A6" w:rsidP="008423E4">
      <w:pPr>
        <w:tabs>
          <w:tab w:val="right" w:pos="9360"/>
        </w:tabs>
        <w:rPr>
          <w:sz w:val="22"/>
        </w:rPr>
      </w:pPr>
    </w:p>
    <w:tbl>
      <w:tblPr>
        <w:tblW w:w="0" w:type="auto"/>
        <w:tblLayout w:type="fixed"/>
        <w:tblLook w:val="01E0" w:firstRow="1" w:lastRow="1" w:firstColumn="1" w:lastColumn="1" w:noHBand="0" w:noVBand="0"/>
      </w:tblPr>
      <w:tblGrid>
        <w:gridCol w:w="9576"/>
      </w:tblGrid>
      <w:tr w:rsidR="003318E2" w:rsidTr="00345119">
        <w:tc>
          <w:tcPr>
            <w:tcW w:w="9576" w:type="dxa"/>
          </w:tcPr>
          <w:p w:rsidR="008423E4" w:rsidRPr="00861995" w:rsidRDefault="00A130A6" w:rsidP="006E2BCF">
            <w:pPr>
              <w:jc w:val="right"/>
            </w:pPr>
            <w:r>
              <w:t>C.S.H.B. 3802</w:t>
            </w:r>
          </w:p>
        </w:tc>
      </w:tr>
      <w:tr w:rsidR="003318E2" w:rsidTr="00345119">
        <w:tc>
          <w:tcPr>
            <w:tcW w:w="9576" w:type="dxa"/>
          </w:tcPr>
          <w:p w:rsidR="008423E4" w:rsidRPr="00861995" w:rsidRDefault="00A130A6" w:rsidP="00B267A0">
            <w:pPr>
              <w:jc w:val="right"/>
            </w:pPr>
            <w:r>
              <w:t xml:space="preserve">By: </w:t>
            </w:r>
            <w:r>
              <w:t>Guillen</w:t>
            </w:r>
          </w:p>
        </w:tc>
      </w:tr>
      <w:tr w:rsidR="003318E2" w:rsidTr="00345119">
        <w:tc>
          <w:tcPr>
            <w:tcW w:w="9576" w:type="dxa"/>
          </w:tcPr>
          <w:p w:rsidR="008423E4" w:rsidRPr="00861995" w:rsidRDefault="00A130A6" w:rsidP="00345119">
            <w:pPr>
              <w:jc w:val="right"/>
            </w:pPr>
            <w:r>
              <w:t>Environmental Regulation</w:t>
            </w:r>
          </w:p>
        </w:tc>
      </w:tr>
      <w:tr w:rsidR="003318E2" w:rsidTr="00345119">
        <w:tc>
          <w:tcPr>
            <w:tcW w:w="9576" w:type="dxa"/>
          </w:tcPr>
          <w:p w:rsidR="008423E4" w:rsidRDefault="00A130A6" w:rsidP="00345119">
            <w:pPr>
              <w:jc w:val="right"/>
            </w:pPr>
            <w:r>
              <w:t>Committee Report (Substituted)</w:t>
            </w:r>
          </w:p>
        </w:tc>
      </w:tr>
    </w:tbl>
    <w:p w:rsidR="008423E4" w:rsidRPr="0024070F" w:rsidRDefault="00A130A6" w:rsidP="008423E4">
      <w:pPr>
        <w:tabs>
          <w:tab w:val="right" w:pos="9360"/>
        </w:tabs>
        <w:rPr>
          <w:sz w:val="22"/>
        </w:rPr>
      </w:pPr>
    </w:p>
    <w:p w:rsidR="008423E4" w:rsidRPr="0024070F" w:rsidRDefault="00A130A6" w:rsidP="008423E4">
      <w:pPr>
        <w:rPr>
          <w:sz w:val="22"/>
        </w:rPr>
      </w:pPr>
    </w:p>
    <w:p w:rsidR="008423E4" w:rsidRPr="0024070F" w:rsidRDefault="00A130A6"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3318E2" w:rsidTr="00345119">
        <w:tc>
          <w:tcPr>
            <w:tcW w:w="9576" w:type="dxa"/>
          </w:tcPr>
          <w:p w:rsidR="008423E4" w:rsidRPr="00A8133F" w:rsidRDefault="00A130A6" w:rsidP="00E345F5">
            <w:pPr>
              <w:rPr>
                <w:b/>
              </w:rPr>
            </w:pPr>
            <w:r w:rsidRPr="009C1E9A">
              <w:rPr>
                <w:b/>
                <w:u w:val="single"/>
              </w:rPr>
              <w:t>BACKGROUND AND PURPOSE</w:t>
            </w:r>
            <w:r>
              <w:rPr>
                <w:b/>
              </w:rPr>
              <w:t xml:space="preserve"> </w:t>
            </w:r>
          </w:p>
          <w:p w:rsidR="008423E4" w:rsidRPr="0024070F" w:rsidRDefault="00A130A6" w:rsidP="00E345F5">
            <w:pPr>
              <w:rPr>
                <w:sz w:val="22"/>
              </w:rPr>
            </w:pPr>
          </w:p>
          <w:p w:rsidR="008423E4" w:rsidRDefault="00A130A6" w:rsidP="00E345F5">
            <w:pPr>
              <w:pStyle w:val="Header"/>
              <w:jc w:val="both"/>
            </w:pPr>
            <w:r>
              <w:t>It has been suggested that it should be</w:t>
            </w:r>
            <w:r>
              <w:t xml:space="preserve"> a</w:t>
            </w:r>
            <w:r>
              <w:t xml:space="preserve"> priority to provide a cleaner environment for the next generation of Texans</w:t>
            </w:r>
            <w:r>
              <w:t xml:space="preserve"> and that</w:t>
            </w:r>
            <w:r>
              <w:t xml:space="preserve"> </w:t>
            </w:r>
            <w:r>
              <w:t>z</w:t>
            </w:r>
            <w:r>
              <w:t>ero</w:t>
            </w:r>
            <w:r>
              <w:t>-e</w:t>
            </w:r>
            <w:r>
              <w:t xml:space="preserve">mission </w:t>
            </w:r>
            <w:r>
              <w:t xml:space="preserve">vehicles will help </w:t>
            </w:r>
            <w:r>
              <w:t>achieve this goal</w:t>
            </w:r>
            <w:r>
              <w:t xml:space="preserve">. </w:t>
            </w:r>
            <w:r>
              <w:t>C.S.H.B.</w:t>
            </w:r>
            <w:r>
              <w:t> </w:t>
            </w:r>
            <w:r>
              <w:t>3802</w:t>
            </w:r>
            <w:r>
              <w:t xml:space="preserve"> seeks to address this issue by providing for the creation of a zero-emission vehicle program.</w:t>
            </w:r>
            <w:r>
              <w:t xml:space="preserve"> </w:t>
            </w:r>
          </w:p>
          <w:p w:rsidR="008423E4" w:rsidRPr="0024070F" w:rsidRDefault="00A130A6" w:rsidP="00E345F5">
            <w:pPr>
              <w:rPr>
                <w:b/>
                <w:sz w:val="22"/>
              </w:rPr>
            </w:pPr>
          </w:p>
        </w:tc>
      </w:tr>
      <w:tr w:rsidR="003318E2" w:rsidTr="00345119">
        <w:tc>
          <w:tcPr>
            <w:tcW w:w="9576" w:type="dxa"/>
          </w:tcPr>
          <w:p w:rsidR="0017725B" w:rsidRDefault="00A130A6" w:rsidP="00E345F5">
            <w:pPr>
              <w:rPr>
                <w:b/>
                <w:u w:val="single"/>
              </w:rPr>
            </w:pPr>
            <w:r>
              <w:rPr>
                <w:b/>
                <w:u w:val="single"/>
              </w:rPr>
              <w:t>CRIMINAL JUSTICE IMPACT</w:t>
            </w:r>
          </w:p>
          <w:p w:rsidR="0017725B" w:rsidRPr="0024070F" w:rsidRDefault="00A130A6" w:rsidP="00E345F5">
            <w:pPr>
              <w:rPr>
                <w:b/>
                <w:sz w:val="22"/>
                <w:u w:val="single"/>
              </w:rPr>
            </w:pPr>
          </w:p>
          <w:p w:rsidR="00855B30" w:rsidRPr="00855B30" w:rsidRDefault="00A130A6" w:rsidP="00E345F5">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24070F" w:rsidRDefault="00A130A6" w:rsidP="00E345F5">
            <w:pPr>
              <w:rPr>
                <w:b/>
                <w:sz w:val="22"/>
                <w:u w:val="single"/>
              </w:rPr>
            </w:pPr>
          </w:p>
        </w:tc>
      </w:tr>
      <w:tr w:rsidR="003318E2" w:rsidTr="00345119">
        <w:tc>
          <w:tcPr>
            <w:tcW w:w="9576" w:type="dxa"/>
          </w:tcPr>
          <w:p w:rsidR="008423E4" w:rsidRPr="00A8133F" w:rsidRDefault="00A130A6" w:rsidP="00E345F5">
            <w:pPr>
              <w:rPr>
                <w:b/>
              </w:rPr>
            </w:pPr>
            <w:r w:rsidRPr="009C1E9A">
              <w:rPr>
                <w:b/>
                <w:u w:val="single"/>
              </w:rPr>
              <w:t>RULEMAKING AUTHORITY</w:t>
            </w:r>
            <w:r>
              <w:rPr>
                <w:b/>
              </w:rPr>
              <w:t xml:space="preserve"> </w:t>
            </w:r>
          </w:p>
          <w:p w:rsidR="008423E4" w:rsidRPr="0024070F" w:rsidRDefault="00A130A6" w:rsidP="00E345F5">
            <w:pPr>
              <w:rPr>
                <w:sz w:val="22"/>
              </w:rPr>
            </w:pPr>
          </w:p>
          <w:p w:rsidR="00855B30" w:rsidRDefault="00A130A6" w:rsidP="00E345F5">
            <w:pPr>
              <w:pStyle w:val="Header"/>
              <w:tabs>
                <w:tab w:val="clear" w:pos="4320"/>
                <w:tab w:val="clear" w:pos="8640"/>
              </w:tabs>
              <w:jc w:val="both"/>
            </w:pPr>
            <w:r>
              <w:t>It is the com</w:t>
            </w:r>
            <w:r>
              <w:t xml:space="preserve">mittee's opinion that rulemaking authority is expressly granted to the </w:t>
            </w:r>
            <w:r w:rsidRPr="00855B30">
              <w:t xml:space="preserve">Texas Commission on Environmental Quality </w:t>
            </w:r>
            <w:r>
              <w:t xml:space="preserve">in SECTION </w:t>
            </w:r>
            <w:r>
              <w:t>3</w:t>
            </w:r>
            <w:r>
              <w:t xml:space="preserve"> of this bill.</w:t>
            </w:r>
          </w:p>
          <w:p w:rsidR="008423E4" w:rsidRPr="0024070F" w:rsidRDefault="00A130A6" w:rsidP="00E345F5">
            <w:pPr>
              <w:rPr>
                <w:b/>
                <w:sz w:val="22"/>
              </w:rPr>
            </w:pPr>
          </w:p>
        </w:tc>
      </w:tr>
      <w:tr w:rsidR="003318E2" w:rsidTr="00345119">
        <w:tc>
          <w:tcPr>
            <w:tcW w:w="9576" w:type="dxa"/>
          </w:tcPr>
          <w:p w:rsidR="008423E4" w:rsidRPr="00A8133F" w:rsidRDefault="00A130A6" w:rsidP="00E345F5">
            <w:pPr>
              <w:rPr>
                <w:b/>
              </w:rPr>
            </w:pPr>
            <w:r w:rsidRPr="009C1E9A">
              <w:rPr>
                <w:b/>
                <w:u w:val="single"/>
              </w:rPr>
              <w:t>ANALYSIS</w:t>
            </w:r>
            <w:r>
              <w:rPr>
                <w:b/>
              </w:rPr>
              <w:t xml:space="preserve"> </w:t>
            </w:r>
          </w:p>
          <w:p w:rsidR="008423E4" w:rsidRPr="0024070F" w:rsidRDefault="00A130A6" w:rsidP="00E345F5">
            <w:pPr>
              <w:rPr>
                <w:sz w:val="22"/>
              </w:rPr>
            </w:pPr>
          </w:p>
          <w:p w:rsidR="00760CDC" w:rsidRDefault="00A130A6" w:rsidP="00E345F5">
            <w:pPr>
              <w:pStyle w:val="Header"/>
              <w:tabs>
                <w:tab w:val="clear" w:pos="4320"/>
                <w:tab w:val="clear" w:pos="8640"/>
              </w:tabs>
              <w:jc w:val="both"/>
            </w:pPr>
            <w:r>
              <w:t>C.S.H.B.</w:t>
            </w:r>
            <w:r>
              <w:t xml:space="preserve"> 3802 amends the Health and Safety Code to require the </w:t>
            </w:r>
            <w:r w:rsidRPr="00302E20">
              <w:t>Texas Comm</w:t>
            </w:r>
            <w:r>
              <w:t xml:space="preserve">ission on Environmental </w:t>
            </w:r>
            <w:r>
              <w:t xml:space="preserve">Quality (TCEQ) to </w:t>
            </w:r>
            <w:r w:rsidRPr="00302E20">
              <w:t xml:space="preserve">establish and administer a zero-emission vehicle program designed to reduce the total volume of </w:t>
            </w:r>
            <w:r>
              <w:t>pollutants in exhaust emissions from motor vehicles in</w:t>
            </w:r>
            <w:r w:rsidRPr="00302E20">
              <w:t xml:space="preserve"> Texas. </w:t>
            </w:r>
            <w:r>
              <w:t>T</w:t>
            </w:r>
            <w:r w:rsidRPr="00302E20">
              <w:t xml:space="preserve">he </w:t>
            </w:r>
            <w:r>
              <w:t>bill requires TCEQ, u</w:t>
            </w:r>
            <w:r w:rsidRPr="00302E20">
              <w:t>nder the program</w:t>
            </w:r>
            <w:r>
              <w:t>, to</w:t>
            </w:r>
            <w:r w:rsidRPr="00302E20">
              <w:t xml:space="preserve"> provide grants for eligible projec</w:t>
            </w:r>
            <w:r w:rsidRPr="00302E20">
              <w:t>ts to offset the incremental cost of projects that lead to the creation</w:t>
            </w:r>
            <w:r>
              <w:t xml:space="preserve"> </w:t>
            </w:r>
            <w:r w:rsidRPr="00302E20">
              <w:t>of additional zero</w:t>
            </w:r>
            <w:r>
              <w:t>-</w:t>
            </w:r>
            <w:r w:rsidRPr="00302E20">
              <w:t>emission vehicles</w:t>
            </w:r>
            <w:r>
              <w:t xml:space="preserve"> </w:t>
            </w:r>
            <w:r w:rsidRPr="00503CB9">
              <w:t>through retrofitting or modification of existing motor vehicles</w:t>
            </w:r>
            <w:r w:rsidRPr="00760CDC">
              <w:t>.</w:t>
            </w:r>
            <w:r>
              <w:t xml:space="preserve"> </w:t>
            </w:r>
            <w:r>
              <w:t>The bill</w:t>
            </w:r>
            <w:r>
              <w:t xml:space="preserve"> defines, among other terms, </w:t>
            </w:r>
            <w:r w:rsidRPr="00D01F11">
              <w:t>"</w:t>
            </w:r>
            <w:r>
              <w:t>z</w:t>
            </w:r>
            <w:r w:rsidRPr="00D01F11">
              <w:t>ero-emission vehicle"</w:t>
            </w:r>
            <w:r>
              <w:t xml:space="preserve"> and </w:t>
            </w:r>
            <w:r w:rsidRPr="00D01F11">
              <w:t>"</w:t>
            </w:r>
            <w:r>
              <w:t>r</w:t>
            </w:r>
            <w:r w:rsidRPr="00D01F11">
              <w:t>etrofit"</w:t>
            </w:r>
            <w:r>
              <w:t xml:space="preserve"> and </w:t>
            </w:r>
            <w:r>
              <w:t>in</w:t>
            </w:r>
            <w:r>
              <w:t>cludes certain projects as</w:t>
            </w:r>
            <w:r>
              <w:t xml:space="preserve"> projects</w:t>
            </w:r>
            <w:r>
              <w:t xml:space="preserve"> that may be considered</w:t>
            </w:r>
            <w:r>
              <w:t xml:space="preserve"> for a grant under the program</w:t>
            </w:r>
            <w:r>
              <w:t>.</w:t>
            </w:r>
          </w:p>
          <w:p w:rsidR="00CF70B9" w:rsidRPr="0024070F" w:rsidRDefault="00A130A6" w:rsidP="00E345F5">
            <w:pPr>
              <w:pStyle w:val="Header"/>
              <w:tabs>
                <w:tab w:val="clear" w:pos="4320"/>
                <w:tab w:val="clear" w:pos="8640"/>
              </w:tabs>
              <w:jc w:val="both"/>
              <w:rPr>
                <w:sz w:val="22"/>
              </w:rPr>
            </w:pPr>
          </w:p>
          <w:p w:rsidR="00A44BD1" w:rsidRDefault="00A130A6" w:rsidP="00E345F5">
            <w:pPr>
              <w:pStyle w:val="Header"/>
              <w:tabs>
                <w:tab w:val="clear" w:pos="4320"/>
                <w:tab w:val="clear" w:pos="8640"/>
              </w:tabs>
              <w:jc w:val="both"/>
            </w:pPr>
            <w:r>
              <w:t>C.S.H.B.</w:t>
            </w:r>
            <w:r w:rsidRPr="00CF70B9">
              <w:t xml:space="preserve"> 3802</w:t>
            </w:r>
            <w:r>
              <w:t xml:space="preserve"> authorizes an applicable government</w:t>
            </w:r>
            <w:r>
              <w:t>al</w:t>
            </w:r>
            <w:r>
              <w:t xml:space="preserve"> entity in Texas that operates one or more </w:t>
            </w:r>
            <w:r>
              <w:t xml:space="preserve">motor </w:t>
            </w:r>
            <w:r>
              <w:t xml:space="preserve">vehicles to apply for and receive a grant under the program. The </w:t>
            </w:r>
            <w:r>
              <w:t>bill authorizes TCEQ to adopt guidelines to allow a regional planning commission, council of governments,</w:t>
            </w:r>
            <w:r>
              <w:t xml:space="preserve"> or</w:t>
            </w:r>
            <w:r>
              <w:t xml:space="preserve"> similar</w:t>
            </w:r>
            <w:r>
              <w:t xml:space="preserve"> applicable</w:t>
            </w:r>
            <w:r>
              <w:t xml:space="preserve"> regional planning agency or a </w:t>
            </w:r>
            <w:r w:rsidRPr="00CF70B9">
              <w:t>private nonprofit organization to also apply for and receive a grant to improve the ability of the</w:t>
            </w:r>
            <w:r w:rsidRPr="00CF70B9">
              <w:t xml:space="preserve"> program to achieve its goals.</w:t>
            </w:r>
            <w:r>
              <w:t xml:space="preserve"> The bill requires an application for a grant to be made on a form provided by TCEQ</w:t>
            </w:r>
            <w:r>
              <w:t xml:space="preserve"> and </w:t>
            </w:r>
            <w:r>
              <w:t xml:space="preserve">to </w:t>
            </w:r>
            <w:r>
              <w:t>contain the information required by TCEQ.</w:t>
            </w:r>
            <w:r>
              <w:t xml:space="preserve"> The bill requires TCEQ by rule to establish criteria for setting priorities for projects elig</w:t>
            </w:r>
            <w:r>
              <w:t xml:space="preserve">ible to receive grants. The bill requires TCEQ to </w:t>
            </w:r>
            <w:r w:rsidRPr="0079481A">
              <w:t>review</w:t>
            </w:r>
            <w:r>
              <w:t>,</w:t>
            </w:r>
            <w:r w:rsidRPr="0079481A">
              <w:t xml:space="preserve"> and </w:t>
            </w:r>
            <w:r>
              <w:t xml:space="preserve">authorizes TCEQ to </w:t>
            </w:r>
            <w:r w:rsidRPr="0079481A">
              <w:t>modify</w:t>
            </w:r>
            <w:r>
              <w:t>,</w:t>
            </w:r>
            <w:r w:rsidRPr="0079481A">
              <w:t xml:space="preserve"> </w:t>
            </w:r>
            <w:r>
              <w:t>the</w:t>
            </w:r>
            <w:r w:rsidRPr="0079481A">
              <w:t xml:space="preserve"> criteria and priorities as appropriate.</w:t>
            </w:r>
            <w:r>
              <w:t xml:space="preserve"> The bill requires a</w:t>
            </w:r>
            <w:r>
              <w:t xml:space="preserve"> motor</w:t>
            </w:r>
            <w:r>
              <w:t xml:space="preserve"> vehicle proposed for retrofit</w:t>
            </w:r>
            <w:r>
              <w:t>ting</w:t>
            </w:r>
            <w:r>
              <w:t xml:space="preserve"> to</w:t>
            </w:r>
            <w:r>
              <w:t>:</w:t>
            </w:r>
          </w:p>
          <w:p w:rsidR="00A44BD1" w:rsidRDefault="00A130A6" w:rsidP="00E345F5">
            <w:pPr>
              <w:pStyle w:val="Header"/>
              <w:numPr>
                <w:ilvl w:val="0"/>
                <w:numId w:val="3"/>
              </w:numPr>
              <w:spacing w:before="120" w:after="120"/>
              <w:jc w:val="both"/>
            </w:pPr>
            <w:r>
              <w:t>be of model year 2006 or earlier;</w:t>
            </w:r>
          </w:p>
          <w:p w:rsidR="00A44BD1" w:rsidRDefault="00A130A6" w:rsidP="00E345F5">
            <w:pPr>
              <w:pStyle w:val="Header"/>
              <w:numPr>
                <w:ilvl w:val="0"/>
                <w:numId w:val="3"/>
              </w:numPr>
              <w:spacing w:before="120" w:after="120"/>
              <w:jc w:val="both"/>
            </w:pPr>
            <w:r>
              <w:t>be in good operational co</w:t>
            </w:r>
            <w:r>
              <w:t>ndition;</w:t>
            </w:r>
          </w:p>
          <w:p w:rsidR="00A44BD1" w:rsidRDefault="00A130A6" w:rsidP="00E345F5">
            <w:pPr>
              <w:pStyle w:val="Header"/>
              <w:numPr>
                <w:ilvl w:val="0"/>
                <w:numId w:val="3"/>
              </w:numPr>
              <w:spacing w:before="120" w:after="120"/>
              <w:jc w:val="both"/>
            </w:pPr>
            <w:r>
              <w:t>have at least five years of useful life remaining unless the applicant agrees to remove the retrofit device at the end of the life of the vehicle and reinstall the device on another motor vehicle, where applicable;</w:t>
            </w:r>
          </w:p>
          <w:p w:rsidR="00A44BD1" w:rsidRDefault="00A130A6" w:rsidP="00E345F5">
            <w:pPr>
              <w:pStyle w:val="Header"/>
              <w:numPr>
                <w:ilvl w:val="0"/>
                <w:numId w:val="3"/>
              </w:numPr>
              <w:spacing w:before="120" w:after="120"/>
              <w:jc w:val="both"/>
            </w:pPr>
            <w:r>
              <w:t>have been owned, or leased, and operated by the applicant for at least the two years before submission of the grant application; and</w:t>
            </w:r>
          </w:p>
          <w:p w:rsidR="00A44BD1" w:rsidRDefault="00A130A6" w:rsidP="00E345F5">
            <w:pPr>
              <w:pStyle w:val="Header"/>
              <w:numPr>
                <w:ilvl w:val="0"/>
                <w:numId w:val="3"/>
              </w:numPr>
              <w:tabs>
                <w:tab w:val="clear" w:pos="4320"/>
                <w:tab w:val="clear" w:pos="8640"/>
              </w:tabs>
              <w:spacing w:before="120" w:after="120"/>
              <w:jc w:val="both"/>
            </w:pPr>
            <w:r>
              <w:t>be currently used at least once a month by the applicant.</w:t>
            </w:r>
          </w:p>
          <w:p w:rsidR="00367D6B" w:rsidRDefault="00A130A6" w:rsidP="00E345F5">
            <w:pPr>
              <w:pStyle w:val="Header"/>
              <w:tabs>
                <w:tab w:val="clear" w:pos="4320"/>
                <w:tab w:val="clear" w:pos="8640"/>
              </w:tabs>
              <w:jc w:val="both"/>
            </w:pPr>
          </w:p>
          <w:p w:rsidR="00A44BD1" w:rsidRDefault="00A130A6" w:rsidP="00E345F5">
            <w:pPr>
              <w:pStyle w:val="Header"/>
              <w:tabs>
                <w:tab w:val="clear" w:pos="4320"/>
                <w:tab w:val="clear" w:pos="8640"/>
              </w:tabs>
              <w:jc w:val="both"/>
            </w:pPr>
            <w:r>
              <w:t>C.S.H.B. 3802</w:t>
            </w:r>
            <w:r>
              <w:t xml:space="preserve"> makes</w:t>
            </w:r>
            <w:r>
              <w:t xml:space="preserve"> </w:t>
            </w:r>
            <w:r w:rsidRPr="00A44BD1">
              <w:t xml:space="preserve">a project </w:t>
            </w:r>
            <w:r>
              <w:t>in</w:t>
            </w:r>
            <w:r w:rsidRPr="00A44BD1">
              <w:t>eligible to receive a grant unle</w:t>
            </w:r>
            <w:r w:rsidRPr="00A44BD1">
              <w:t xml:space="preserve">ss not less than 75 percent of vehicle miles traveled or hours of operation projected for the five years immediately following the award of a grant is projected to take place in a nonattainment area or affected county of </w:t>
            </w:r>
            <w:r>
              <w:t>Texas</w:t>
            </w:r>
            <w:r w:rsidRPr="00A44BD1">
              <w:t xml:space="preserve">. </w:t>
            </w:r>
            <w:r>
              <w:t>The bill authorizes TCEQ</w:t>
            </w:r>
            <w:r w:rsidRPr="00A44BD1">
              <w:t xml:space="preserve"> </w:t>
            </w:r>
            <w:r>
              <w:t>to</w:t>
            </w:r>
            <w:r w:rsidRPr="00A44BD1">
              <w:t xml:space="preserve"> </w:t>
            </w:r>
            <w:r w:rsidRPr="00A44BD1">
              <w:t>set the minimum percentage of vehicle miles traveled or hours of operation required to take place in a nonattainment area or affected county at a percentage and for a p</w:t>
            </w:r>
            <w:r>
              <w:t>eriod that is different from such specified</w:t>
            </w:r>
            <w:r w:rsidRPr="00A44BD1">
              <w:t xml:space="preserve"> percentage and period.</w:t>
            </w:r>
          </w:p>
          <w:p w:rsidR="003D2470" w:rsidRDefault="00A130A6" w:rsidP="00E345F5">
            <w:pPr>
              <w:pStyle w:val="Header"/>
              <w:tabs>
                <w:tab w:val="clear" w:pos="4320"/>
                <w:tab w:val="clear" w:pos="8640"/>
              </w:tabs>
              <w:jc w:val="both"/>
            </w:pPr>
          </w:p>
          <w:p w:rsidR="008A36D6" w:rsidRDefault="00A130A6" w:rsidP="00E345F5">
            <w:pPr>
              <w:pStyle w:val="Header"/>
              <w:tabs>
                <w:tab w:val="clear" w:pos="4320"/>
                <w:tab w:val="clear" w:pos="8640"/>
              </w:tabs>
              <w:jc w:val="both"/>
            </w:pPr>
            <w:r>
              <w:t>C.S.H.B.</w:t>
            </w:r>
            <w:r w:rsidRPr="0012287A">
              <w:t xml:space="preserve"> 3802</w:t>
            </w:r>
            <w:r>
              <w:t xml:space="preserve"> requir</w:t>
            </w:r>
            <w:r>
              <w:t xml:space="preserve">es </w:t>
            </w:r>
            <w:r>
              <w:t xml:space="preserve">a </w:t>
            </w:r>
            <w:r>
              <w:t xml:space="preserve">grant </w:t>
            </w:r>
            <w:r>
              <w:t xml:space="preserve">recipient to use </w:t>
            </w:r>
            <w:r w:rsidRPr="0012287A">
              <w:t xml:space="preserve">the grant to pay the incremental costs of the project for which the grant is made, which may include the reasonable and necessary expenses incurred for the labor needed to install </w:t>
            </w:r>
            <w:r>
              <w:t>equipment to eliminate pollutant emissions</w:t>
            </w:r>
            <w:r w:rsidRPr="0012287A">
              <w:t xml:space="preserve">. The </w:t>
            </w:r>
            <w:r>
              <w:t xml:space="preserve">bill prohibits the </w:t>
            </w:r>
            <w:r w:rsidRPr="0012287A">
              <w:t xml:space="preserve">recipient </w:t>
            </w:r>
            <w:r>
              <w:t>from</w:t>
            </w:r>
            <w:r w:rsidRPr="0012287A">
              <w:t xml:space="preserve"> us</w:t>
            </w:r>
            <w:r>
              <w:t>ing</w:t>
            </w:r>
            <w:r w:rsidRPr="0012287A">
              <w:t xml:space="preserve"> the grant to pay the recipient's administrative expenses.</w:t>
            </w:r>
            <w:r>
              <w:t xml:space="preserve"> </w:t>
            </w:r>
          </w:p>
          <w:p w:rsidR="008A36D6" w:rsidRDefault="00A130A6" w:rsidP="00E345F5">
            <w:pPr>
              <w:pStyle w:val="Header"/>
              <w:tabs>
                <w:tab w:val="clear" w:pos="4320"/>
                <w:tab w:val="clear" w:pos="8640"/>
              </w:tabs>
              <w:jc w:val="both"/>
            </w:pPr>
          </w:p>
          <w:p w:rsidR="00981648" w:rsidRDefault="00A130A6" w:rsidP="00E345F5">
            <w:pPr>
              <w:pStyle w:val="Header"/>
              <w:tabs>
                <w:tab w:val="clear" w:pos="4320"/>
                <w:tab w:val="clear" w:pos="8640"/>
              </w:tabs>
              <w:jc w:val="both"/>
            </w:pPr>
            <w:r>
              <w:t xml:space="preserve">C.S.H.B. 3802 requires TCEQ and the comptroller of public accounts to provide funding under the </w:t>
            </w:r>
            <w:r w:rsidRPr="00B80AE3">
              <w:t>Texas emissions reduction plan</w:t>
            </w:r>
            <w:r>
              <w:t xml:space="preserve"> for </w:t>
            </w:r>
            <w:r>
              <w:t xml:space="preserve">the </w:t>
            </w:r>
            <w:r w:rsidRPr="00BE0726">
              <w:t>zero-emission vehicle</w:t>
            </w:r>
            <w:r w:rsidRPr="00BE0726">
              <w:t xml:space="preserve"> program</w:t>
            </w:r>
            <w:r>
              <w:t xml:space="preserve"> </w:t>
            </w:r>
            <w:r>
              <w:t xml:space="preserve">and authorizes </w:t>
            </w:r>
            <w:r>
              <w:t xml:space="preserve">money in the </w:t>
            </w:r>
            <w:r w:rsidRPr="002122AB">
              <w:t>Texa</w:t>
            </w:r>
            <w:r>
              <w:t xml:space="preserve">s emissions reduction plan </w:t>
            </w:r>
            <w:r>
              <w:t xml:space="preserve">fund </w:t>
            </w:r>
            <w:r>
              <w:t xml:space="preserve">to </w:t>
            </w:r>
            <w:r w:rsidRPr="002122AB">
              <w:t xml:space="preserve">be used by </w:t>
            </w:r>
            <w:r>
              <w:t>TCEQ</w:t>
            </w:r>
            <w:r w:rsidRPr="002122AB">
              <w:t xml:space="preserve"> for the program as may be appropriated for that purpose</w:t>
            </w:r>
            <w:r>
              <w:t>.</w:t>
            </w:r>
          </w:p>
          <w:p w:rsidR="008423E4" w:rsidRPr="00835628" w:rsidRDefault="00A130A6" w:rsidP="00E345F5">
            <w:pPr>
              <w:pStyle w:val="Header"/>
              <w:tabs>
                <w:tab w:val="clear" w:pos="4320"/>
                <w:tab w:val="clear" w:pos="8640"/>
              </w:tabs>
              <w:jc w:val="both"/>
              <w:rPr>
                <w:b/>
              </w:rPr>
            </w:pPr>
          </w:p>
        </w:tc>
      </w:tr>
      <w:tr w:rsidR="003318E2" w:rsidTr="00345119">
        <w:tc>
          <w:tcPr>
            <w:tcW w:w="9576" w:type="dxa"/>
          </w:tcPr>
          <w:p w:rsidR="008423E4" w:rsidRPr="00A8133F" w:rsidRDefault="00A130A6" w:rsidP="00E345F5">
            <w:pPr>
              <w:rPr>
                <w:b/>
              </w:rPr>
            </w:pPr>
            <w:r w:rsidRPr="009C1E9A">
              <w:rPr>
                <w:b/>
                <w:u w:val="single"/>
              </w:rPr>
              <w:t>EFFECTIVE DATE</w:t>
            </w:r>
            <w:r>
              <w:rPr>
                <w:b/>
              </w:rPr>
              <w:t xml:space="preserve"> </w:t>
            </w:r>
          </w:p>
          <w:p w:rsidR="008423E4" w:rsidRDefault="00A130A6" w:rsidP="00E345F5"/>
          <w:p w:rsidR="008423E4" w:rsidRPr="003624F2" w:rsidRDefault="00A130A6" w:rsidP="00E345F5">
            <w:pPr>
              <w:pStyle w:val="Header"/>
              <w:tabs>
                <w:tab w:val="clear" w:pos="4320"/>
                <w:tab w:val="clear" w:pos="8640"/>
              </w:tabs>
              <w:jc w:val="both"/>
            </w:pPr>
            <w:r>
              <w:t>September 1, 2019.</w:t>
            </w:r>
          </w:p>
          <w:p w:rsidR="008423E4" w:rsidRPr="00233FDB" w:rsidRDefault="00A130A6" w:rsidP="00E345F5">
            <w:pPr>
              <w:rPr>
                <w:b/>
              </w:rPr>
            </w:pPr>
          </w:p>
        </w:tc>
      </w:tr>
      <w:tr w:rsidR="003318E2" w:rsidTr="00345119">
        <w:tc>
          <w:tcPr>
            <w:tcW w:w="9576" w:type="dxa"/>
          </w:tcPr>
          <w:p w:rsidR="00B267A0" w:rsidRDefault="00A130A6" w:rsidP="00E345F5">
            <w:pPr>
              <w:jc w:val="both"/>
              <w:rPr>
                <w:b/>
                <w:u w:val="single"/>
              </w:rPr>
            </w:pPr>
            <w:r>
              <w:rPr>
                <w:b/>
                <w:u w:val="single"/>
              </w:rPr>
              <w:t>COMPARISON OF ORIGINAL AND SUBSTITUTE</w:t>
            </w:r>
          </w:p>
          <w:p w:rsidR="00153BBE" w:rsidRDefault="00A130A6" w:rsidP="00E345F5">
            <w:pPr>
              <w:jc w:val="both"/>
            </w:pPr>
          </w:p>
          <w:p w:rsidR="00153BBE" w:rsidRDefault="00A130A6" w:rsidP="00E345F5">
            <w:pPr>
              <w:jc w:val="both"/>
            </w:pPr>
            <w:r>
              <w:t xml:space="preserve">While C.S.H.B. 3802 may </w:t>
            </w:r>
            <w:r>
              <w:t>differ from the original in minor or nonsubstantive ways, the following summarizes the substantial differences between the introduced and committee substitute versions of the bill.</w:t>
            </w:r>
          </w:p>
          <w:p w:rsidR="00153BBE" w:rsidRDefault="00A130A6" w:rsidP="00E345F5">
            <w:pPr>
              <w:jc w:val="both"/>
            </w:pPr>
          </w:p>
          <w:p w:rsidR="00153BBE" w:rsidRDefault="00A130A6" w:rsidP="00E345F5">
            <w:pPr>
              <w:jc w:val="both"/>
            </w:pPr>
            <w:r>
              <w:t xml:space="preserve">The </w:t>
            </w:r>
            <w:r>
              <w:t xml:space="preserve">substitute </w:t>
            </w:r>
            <w:r>
              <w:t>clarifies</w:t>
            </w:r>
            <w:r>
              <w:t xml:space="preserve"> the purpose of the </w:t>
            </w:r>
            <w:r w:rsidRPr="00E70B61">
              <w:t>zero-emission vehicle program</w:t>
            </w:r>
            <w:r>
              <w:t xml:space="preserve"> </w:t>
            </w:r>
            <w:r>
              <w:t>and</w:t>
            </w:r>
            <w:r>
              <w:t xml:space="preserve"> includes a definition of "motor vehicle</w:t>
            </w:r>
            <w:r>
              <w:t>.</w:t>
            </w:r>
            <w:r>
              <w:t>"</w:t>
            </w:r>
          </w:p>
          <w:p w:rsidR="00BE7DB1" w:rsidRDefault="00A130A6" w:rsidP="00E345F5">
            <w:pPr>
              <w:jc w:val="both"/>
            </w:pPr>
          </w:p>
          <w:p w:rsidR="00F758A4" w:rsidRDefault="00A130A6" w:rsidP="00E345F5">
            <w:pPr>
              <w:jc w:val="both"/>
            </w:pPr>
            <w:r>
              <w:t>The substitute includes provision</w:t>
            </w:r>
            <w:r>
              <w:t>s</w:t>
            </w:r>
            <w:r>
              <w:t xml:space="preserve"> making</w:t>
            </w:r>
            <w:r w:rsidRPr="00F758A4">
              <w:t xml:space="preserve"> a project </w:t>
            </w:r>
            <w:r>
              <w:t>in</w:t>
            </w:r>
            <w:r w:rsidRPr="00F758A4">
              <w:t xml:space="preserve">eligible to receive a grant unless not less than 75 percent of vehicle miles traveled or hours of operation projected for the five years immediately following the award of a grant is projected to take place in a nonattainment area </w:t>
            </w:r>
            <w:r>
              <w:t>or affected county of Tex</w:t>
            </w:r>
            <w:r>
              <w:t>as and authorizing TCEQ</w:t>
            </w:r>
            <w:r w:rsidRPr="00F758A4">
              <w:t xml:space="preserve"> </w:t>
            </w:r>
            <w:r>
              <w:t>to</w:t>
            </w:r>
            <w:r w:rsidRPr="00F758A4">
              <w:t xml:space="preserve"> set the minimum percentage of vehicle miles traveled or hours of operation required to take place in a nonattainment area or affected county at a percentage and for a p</w:t>
            </w:r>
            <w:r>
              <w:t>eriod that is different from such specified percentage and pe</w:t>
            </w:r>
            <w:r>
              <w:t>riod</w:t>
            </w:r>
            <w:r w:rsidRPr="00F758A4">
              <w:t>.</w:t>
            </w:r>
          </w:p>
          <w:p w:rsidR="00951DEC" w:rsidRDefault="00A130A6" w:rsidP="00E345F5">
            <w:pPr>
              <w:jc w:val="both"/>
            </w:pPr>
          </w:p>
          <w:p w:rsidR="00951DEC" w:rsidRDefault="00A130A6" w:rsidP="00E345F5">
            <w:pPr>
              <w:jc w:val="both"/>
            </w:pPr>
            <w:r>
              <w:t xml:space="preserve">The substitute does not include provisions </w:t>
            </w:r>
            <w:r>
              <w:t>that:</w:t>
            </w:r>
          </w:p>
          <w:p w:rsidR="008D1C20" w:rsidRDefault="00A130A6" w:rsidP="00E345F5">
            <w:pPr>
              <w:pStyle w:val="ListParagraph"/>
              <w:numPr>
                <w:ilvl w:val="0"/>
                <w:numId w:val="4"/>
              </w:numPr>
              <w:spacing w:before="120" w:after="120"/>
              <w:contextualSpacing w:val="0"/>
              <w:jc w:val="both"/>
            </w:pPr>
            <w:r>
              <w:t>require a vehicle acquired to replace an existing vehicle to be purchased and the grant recipient to agree to own and operate the vehicle no less than once a month for at least five years after a star</w:t>
            </w:r>
            <w:r>
              <w:t>t date established by TCEQ, based on the date TCEQ accepts documentation of the permanent destruction or permanent removal of the vehicle being replaced;</w:t>
            </w:r>
          </w:p>
          <w:p w:rsidR="008D1C20" w:rsidRDefault="00A130A6" w:rsidP="00E345F5">
            <w:pPr>
              <w:pStyle w:val="ListParagraph"/>
              <w:numPr>
                <w:ilvl w:val="0"/>
                <w:numId w:val="4"/>
              </w:numPr>
              <w:spacing w:before="120" w:after="120"/>
              <w:contextualSpacing w:val="0"/>
              <w:jc w:val="both"/>
            </w:pPr>
            <w:r>
              <w:t>require a vehicle replaced under the program to be rendered permanently inoperable by crushing the veh</w:t>
            </w:r>
            <w:r>
              <w:t xml:space="preserve">icle, by making a hole in the engine block and permanently destroying the frame of the vehicle, or by another method approved by TCEQ, or be permanently removed from operation in Texas; </w:t>
            </w:r>
          </w:p>
          <w:p w:rsidR="008D1C20" w:rsidRDefault="00A130A6" w:rsidP="00E345F5">
            <w:pPr>
              <w:pStyle w:val="ListParagraph"/>
              <w:numPr>
                <w:ilvl w:val="0"/>
                <w:numId w:val="4"/>
              </w:numPr>
              <w:spacing w:before="120" w:after="120"/>
              <w:contextualSpacing w:val="0"/>
              <w:jc w:val="both"/>
            </w:pPr>
            <w:r>
              <w:t>require TCEQ to establish criteria for ensuring the permanent destruc</w:t>
            </w:r>
            <w:r>
              <w:t>tion or permanent removal of the engine or vehicle;</w:t>
            </w:r>
          </w:p>
          <w:p w:rsidR="008D1C20" w:rsidRDefault="00A130A6" w:rsidP="00E345F5">
            <w:pPr>
              <w:pStyle w:val="ListParagraph"/>
              <w:numPr>
                <w:ilvl w:val="0"/>
                <w:numId w:val="4"/>
              </w:numPr>
              <w:spacing w:before="120" w:after="120"/>
              <w:contextualSpacing w:val="0"/>
              <w:jc w:val="both"/>
            </w:pPr>
            <w:r>
              <w:t>require TCEQ to enforce the destruction and removal requirements; and</w:t>
            </w:r>
          </w:p>
          <w:p w:rsidR="008D1C20" w:rsidRDefault="00A130A6" w:rsidP="00E345F5">
            <w:pPr>
              <w:pStyle w:val="ListParagraph"/>
              <w:numPr>
                <w:ilvl w:val="0"/>
                <w:numId w:val="4"/>
              </w:numPr>
              <w:spacing w:before="120" w:after="120"/>
              <w:contextualSpacing w:val="0"/>
              <w:jc w:val="both"/>
            </w:pPr>
            <w:r>
              <w:t xml:space="preserve">provide </w:t>
            </w:r>
            <w:r>
              <w:t>a</w:t>
            </w:r>
            <w:r>
              <w:t xml:space="preserve"> definition </w:t>
            </w:r>
            <w:r>
              <w:t>for</w:t>
            </w:r>
            <w:r>
              <w:t xml:space="preserve"> "permanent removal."</w:t>
            </w:r>
          </w:p>
          <w:p w:rsidR="00951DEC" w:rsidRDefault="00A130A6" w:rsidP="00E345F5">
            <w:pPr>
              <w:jc w:val="both"/>
            </w:pPr>
          </w:p>
          <w:p w:rsidR="008D1C20" w:rsidRPr="00153BBE" w:rsidRDefault="00A130A6" w:rsidP="00E345F5">
            <w:pPr>
              <w:jc w:val="both"/>
            </w:pPr>
            <w:r>
              <w:t xml:space="preserve">The substitute includes provisions </w:t>
            </w:r>
            <w:r w:rsidRPr="008D1C20">
              <w:t>requir</w:t>
            </w:r>
            <w:r>
              <w:t>ing</w:t>
            </w:r>
            <w:r w:rsidRPr="008D1C20">
              <w:t xml:space="preserve"> TCEQ and the comptroller to provide fundin</w:t>
            </w:r>
            <w:r w:rsidRPr="008D1C20">
              <w:t>g under the Texas emissions reduction plan for the zero-emissio</w:t>
            </w:r>
            <w:r>
              <w:t>n vehicle program and authorizing</w:t>
            </w:r>
            <w:r w:rsidRPr="008D1C20">
              <w:t xml:space="preserve"> money in the Texas emissions reduction plan fund to be used by TCEQ for the program as may be appropriated for that purpose.</w:t>
            </w:r>
          </w:p>
          <w:p w:rsidR="00951DEC" w:rsidRPr="00153BBE" w:rsidRDefault="00A130A6" w:rsidP="00E345F5">
            <w:pPr>
              <w:jc w:val="both"/>
            </w:pPr>
          </w:p>
        </w:tc>
      </w:tr>
      <w:tr w:rsidR="003318E2" w:rsidTr="00345119">
        <w:tc>
          <w:tcPr>
            <w:tcW w:w="9576" w:type="dxa"/>
          </w:tcPr>
          <w:p w:rsidR="00B267A0" w:rsidRPr="009C1E9A" w:rsidRDefault="00A130A6" w:rsidP="00E345F5">
            <w:pPr>
              <w:rPr>
                <w:b/>
                <w:u w:val="single"/>
              </w:rPr>
            </w:pPr>
          </w:p>
        </w:tc>
      </w:tr>
      <w:tr w:rsidR="003318E2" w:rsidTr="00345119">
        <w:tc>
          <w:tcPr>
            <w:tcW w:w="9576" w:type="dxa"/>
          </w:tcPr>
          <w:p w:rsidR="00B267A0" w:rsidRPr="00B267A0" w:rsidRDefault="00A130A6" w:rsidP="00E345F5">
            <w:pPr>
              <w:jc w:val="both"/>
            </w:pPr>
          </w:p>
        </w:tc>
      </w:tr>
    </w:tbl>
    <w:p w:rsidR="008423E4" w:rsidRPr="00BE0E75" w:rsidRDefault="00A130A6" w:rsidP="008423E4">
      <w:pPr>
        <w:spacing w:line="480" w:lineRule="auto"/>
        <w:jc w:val="both"/>
        <w:rPr>
          <w:rFonts w:ascii="Arial" w:hAnsi="Arial"/>
          <w:sz w:val="16"/>
          <w:szCs w:val="16"/>
        </w:rPr>
      </w:pPr>
    </w:p>
    <w:p w:rsidR="004108C3" w:rsidRPr="008423E4" w:rsidRDefault="00A130A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30A6">
      <w:r>
        <w:separator/>
      </w:r>
    </w:p>
  </w:endnote>
  <w:endnote w:type="continuationSeparator" w:id="0">
    <w:p w:rsidR="00000000" w:rsidRDefault="00A1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3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318E2" w:rsidTr="009C1E9A">
      <w:trPr>
        <w:cantSplit/>
      </w:trPr>
      <w:tc>
        <w:tcPr>
          <w:tcW w:w="0" w:type="pct"/>
        </w:tcPr>
        <w:p w:rsidR="00137D90" w:rsidRDefault="00A130A6" w:rsidP="009C1E9A">
          <w:pPr>
            <w:pStyle w:val="Footer"/>
            <w:tabs>
              <w:tab w:val="clear" w:pos="8640"/>
              <w:tab w:val="right" w:pos="9360"/>
            </w:tabs>
          </w:pPr>
        </w:p>
      </w:tc>
      <w:tc>
        <w:tcPr>
          <w:tcW w:w="2395" w:type="pct"/>
        </w:tcPr>
        <w:p w:rsidR="00137D90" w:rsidRDefault="00A130A6" w:rsidP="009C1E9A">
          <w:pPr>
            <w:pStyle w:val="Footer"/>
            <w:tabs>
              <w:tab w:val="clear" w:pos="8640"/>
              <w:tab w:val="right" w:pos="9360"/>
            </w:tabs>
          </w:pPr>
        </w:p>
        <w:p w:rsidR="001A4310" w:rsidRDefault="00A130A6" w:rsidP="009C1E9A">
          <w:pPr>
            <w:pStyle w:val="Footer"/>
            <w:tabs>
              <w:tab w:val="clear" w:pos="8640"/>
              <w:tab w:val="right" w:pos="9360"/>
            </w:tabs>
          </w:pPr>
        </w:p>
        <w:p w:rsidR="00137D90" w:rsidRDefault="00A130A6" w:rsidP="009C1E9A">
          <w:pPr>
            <w:pStyle w:val="Footer"/>
            <w:tabs>
              <w:tab w:val="clear" w:pos="8640"/>
              <w:tab w:val="right" w:pos="9360"/>
            </w:tabs>
          </w:pPr>
        </w:p>
      </w:tc>
      <w:tc>
        <w:tcPr>
          <w:tcW w:w="2453" w:type="pct"/>
        </w:tcPr>
        <w:p w:rsidR="00137D90" w:rsidRDefault="00A130A6" w:rsidP="009C1E9A">
          <w:pPr>
            <w:pStyle w:val="Footer"/>
            <w:tabs>
              <w:tab w:val="clear" w:pos="8640"/>
              <w:tab w:val="right" w:pos="9360"/>
            </w:tabs>
            <w:jc w:val="right"/>
          </w:pPr>
        </w:p>
      </w:tc>
    </w:tr>
    <w:tr w:rsidR="003318E2" w:rsidTr="009C1E9A">
      <w:trPr>
        <w:cantSplit/>
      </w:trPr>
      <w:tc>
        <w:tcPr>
          <w:tcW w:w="0" w:type="pct"/>
        </w:tcPr>
        <w:p w:rsidR="00EC379B" w:rsidRDefault="00A130A6" w:rsidP="009C1E9A">
          <w:pPr>
            <w:pStyle w:val="Footer"/>
            <w:tabs>
              <w:tab w:val="clear" w:pos="8640"/>
              <w:tab w:val="right" w:pos="9360"/>
            </w:tabs>
          </w:pPr>
        </w:p>
      </w:tc>
      <w:tc>
        <w:tcPr>
          <w:tcW w:w="2395" w:type="pct"/>
        </w:tcPr>
        <w:p w:rsidR="00EC379B" w:rsidRPr="009C1E9A" w:rsidRDefault="00A130A6" w:rsidP="009C1E9A">
          <w:pPr>
            <w:pStyle w:val="Footer"/>
            <w:tabs>
              <w:tab w:val="clear" w:pos="8640"/>
              <w:tab w:val="right" w:pos="9360"/>
            </w:tabs>
            <w:rPr>
              <w:rFonts w:ascii="Shruti" w:hAnsi="Shruti"/>
              <w:sz w:val="22"/>
            </w:rPr>
          </w:pPr>
          <w:r>
            <w:rPr>
              <w:rFonts w:ascii="Shruti" w:hAnsi="Shruti"/>
              <w:sz w:val="22"/>
            </w:rPr>
            <w:t>86R 28508</w:t>
          </w:r>
        </w:p>
      </w:tc>
      <w:tc>
        <w:tcPr>
          <w:tcW w:w="2453" w:type="pct"/>
        </w:tcPr>
        <w:p w:rsidR="00EC379B" w:rsidRDefault="00A130A6" w:rsidP="009C1E9A">
          <w:pPr>
            <w:pStyle w:val="Footer"/>
            <w:tabs>
              <w:tab w:val="clear" w:pos="8640"/>
              <w:tab w:val="right" w:pos="9360"/>
            </w:tabs>
            <w:jc w:val="right"/>
          </w:pPr>
          <w:r>
            <w:fldChar w:fldCharType="begin"/>
          </w:r>
          <w:r>
            <w:instrText xml:space="preserve"> DOCPROPERTY  OTID  \* MERGEFORMAT </w:instrText>
          </w:r>
          <w:r>
            <w:fldChar w:fldCharType="separate"/>
          </w:r>
          <w:r>
            <w:t>19.109.391</w:t>
          </w:r>
          <w:r>
            <w:fldChar w:fldCharType="end"/>
          </w:r>
        </w:p>
      </w:tc>
    </w:tr>
    <w:tr w:rsidR="003318E2" w:rsidTr="009C1E9A">
      <w:trPr>
        <w:cantSplit/>
      </w:trPr>
      <w:tc>
        <w:tcPr>
          <w:tcW w:w="0" w:type="pct"/>
        </w:tcPr>
        <w:p w:rsidR="00EC379B" w:rsidRDefault="00A130A6" w:rsidP="009C1E9A">
          <w:pPr>
            <w:pStyle w:val="Footer"/>
            <w:tabs>
              <w:tab w:val="clear" w:pos="4320"/>
              <w:tab w:val="clear" w:pos="8640"/>
              <w:tab w:val="left" w:pos="2865"/>
            </w:tabs>
          </w:pPr>
        </w:p>
      </w:tc>
      <w:tc>
        <w:tcPr>
          <w:tcW w:w="2395" w:type="pct"/>
        </w:tcPr>
        <w:p w:rsidR="00EC379B" w:rsidRPr="009C1E9A" w:rsidRDefault="00A130A6" w:rsidP="009C1E9A">
          <w:pPr>
            <w:pStyle w:val="Footer"/>
            <w:tabs>
              <w:tab w:val="clear" w:pos="4320"/>
              <w:tab w:val="clear" w:pos="8640"/>
              <w:tab w:val="left" w:pos="2865"/>
            </w:tabs>
            <w:rPr>
              <w:rFonts w:ascii="Shruti" w:hAnsi="Shruti"/>
              <w:sz w:val="22"/>
            </w:rPr>
          </w:pPr>
          <w:r>
            <w:rPr>
              <w:rFonts w:ascii="Shruti" w:hAnsi="Shruti"/>
              <w:sz w:val="22"/>
            </w:rPr>
            <w:t>Substitute Document Number: 86R 26364</w:t>
          </w:r>
        </w:p>
      </w:tc>
      <w:tc>
        <w:tcPr>
          <w:tcW w:w="2453" w:type="pct"/>
        </w:tcPr>
        <w:p w:rsidR="00EC379B" w:rsidRDefault="00A130A6" w:rsidP="006D504F">
          <w:pPr>
            <w:pStyle w:val="Footer"/>
            <w:rPr>
              <w:rStyle w:val="PageNumber"/>
            </w:rPr>
          </w:pPr>
        </w:p>
        <w:p w:rsidR="00EC379B" w:rsidRDefault="00A130A6" w:rsidP="009C1E9A">
          <w:pPr>
            <w:pStyle w:val="Footer"/>
            <w:tabs>
              <w:tab w:val="clear" w:pos="8640"/>
              <w:tab w:val="right" w:pos="9360"/>
            </w:tabs>
            <w:jc w:val="right"/>
          </w:pPr>
        </w:p>
      </w:tc>
    </w:tr>
    <w:tr w:rsidR="003318E2" w:rsidTr="009C1E9A">
      <w:trPr>
        <w:cantSplit/>
        <w:trHeight w:val="323"/>
      </w:trPr>
      <w:tc>
        <w:tcPr>
          <w:tcW w:w="0" w:type="pct"/>
          <w:gridSpan w:val="3"/>
        </w:tcPr>
        <w:p w:rsidR="00EC379B" w:rsidRDefault="00A130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30A6" w:rsidP="009C1E9A">
          <w:pPr>
            <w:pStyle w:val="Footer"/>
            <w:tabs>
              <w:tab w:val="clear" w:pos="8640"/>
              <w:tab w:val="right" w:pos="9360"/>
            </w:tabs>
            <w:jc w:val="center"/>
          </w:pPr>
        </w:p>
      </w:tc>
    </w:tr>
  </w:tbl>
  <w:p w:rsidR="00EC379B" w:rsidRPr="00FF6F72" w:rsidRDefault="00A130A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30A6">
      <w:r>
        <w:separator/>
      </w:r>
    </w:p>
  </w:footnote>
  <w:footnote w:type="continuationSeparator" w:id="0">
    <w:p w:rsidR="00000000" w:rsidRDefault="00A1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3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1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211"/>
    <w:multiLevelType w:val="hybridMultilevel"/>
    <w:tmpl w:val="D8AA898E"/>
    <w:lvl w:ilvl="0" w:tplc="6E10FDA2">
      <w:start w:val="1"/>
      <w:numFmt w:val="bullet"/>
      <w:lvlText w:val=""/>
      <w:lvlJc w:val="left"/>
      <w:pPr>
        <w:tabs>
          <w:tab w:val="num" w:pos="720"/>
        </w:tabs>
        <w:ind w:left="720" w:hanging="360"/>
      </w:pPr>
      <w:rPr>
        <w:rFonts w:ascii="Symbol" w:hAnsi="Symbol" w:hint="default"/>
      </w:rPr>
    </w:lvl>
    <w:lvl w:ilvl="1" w:tplc="E1A4CE2C" w:tentative="1">
      <w:start w:val="1"/>
      <w:numFmt w:val="bullet"/>
      <w:lvlText w:val="o"/>
      <w:lvlJc w:val="left"/>
      <w:pPr>
        <w:ind w:left="1440" w:hanging="360"/>
      </w:pPr>
      <w:rPr>
        <w:rFonts w:ascii="Courier New" w:hAnsi="Courier New" w:cs="Courier New" w:hint="default"/>
      </w:rPr>
    </w:lvl>
    <w:lvl w:ilvl="2" w:tplc="07966526" w:tentative="1">
      <w:start w:val="1"/>
      <w:numFmt w:val="bullet"/>
      <w:lvlText w:val=""/>
      <w:lvlJc w:val="left"/>
      <w:pPr>
        <w:ind w:left="2160" w:hanging="360"/>
      </w:pPr>
      <w:rPr>
        <w:rFonts w:ascii="Wingdings" w:hAnsi="Wingdings" w:hint="default"/>
      </w:rPr>
    </w:lvl>
    <w:lvl w:ilvl="3" w:tplc="CAE64C94" w:tentative="1">
      <w:start w:val="1"/>
      <w:numFmt w:val="bullet"/>
      <w:lvlText w:val=""/>
      <w:lvlJc w:val="left"/>
      <w:pPr>
        <w:ind w:left="2880" w:hanging="360"/>
      </w:pPr>
      <w:rPr>
        <w:rFonts w:ascii="Symbol" w:hAnsi="Symbol" w:hint="default"/>
      </w:rPr>
    </w:lvl>
    <w:lvl w:ilvl="4" w:tplc="2DC432E0" w:tentative="1">
      <w:start w:val="1"/>
      <w:numFmt w:val="bullet"/>
      <w:lvlText w:val="o"/>
      <w:lvlJc w:val="left"/>
      <w:pPr>
        <w:ind w:left="3600" w:hanging="360"/>
      </w:pPr>
      <w:rPr>
        <w:rFonts w:ascii="Courier New" w:hAnsi="Courier New" w:cs="Courier New" w:hint="default"/>
      </w:rPr>
    </w:lvl>
    <w:lvl w:ilvl="5" w:tplc="1F56A106" w:tentative="1">
      <w:start w:val="1"/>
      <w:numFmt w:val="bullet"/>
      <w:lvlText w:val=""/>
      <w:lvlJc w:val="left"/>
      <w:pPr>
        <w:ind w:left="4320" w:hanging="360"/>
      </w:pPr>
      <w:rPr>
        <w:rFonts w:ascii="Wingdings" w:hAnsi="Wingdings" w:hint="default"/>
      </w:rPr>
    </w:lvl>
    <w:lvl w:ilvl="6" w:tplc="E4182F36" w:tentative="1">
      <w:start w:val="1"/>
      <w:numFmt w:val="bullet"/>
      <w:lvlText w:val=""/>
      <w:lvlJc w:val="left"/>
      <w:pPr>
        <w:ind w:left="5040" w:hanging="360"/>
      </w:pPr>
      <w:rPr>
        <w:rFonts w:ascii="Symbol" w:hAnsi="Symbol" w:hint="default"/>
      </w:rPr>
    </w:lvl>
    <w:lvl w:ilvl="7" w:tplc="8CB6C0BA" w:tentative="1">
      <w:start w:val="1"/>
      <w:numFmt w:val="bullet"/>
      <w:lvlText w:val="o"/>
      <w:lvlJc w:val="left"/>
      <w:pPr>
        <w:ind w:left="5760" w:hanging="360"/>
      </w:pPr>
      <w:rPr>
        <w:rFonts w:ascii="Courier New" w:hAnsi="Courier New" w:cs="Courier New" w:hint="default"/>
      </w:rPr>
    </w:lvl>
    <w:lvl w:ilvl="8" w:tplc="305EE712" w:tentative="1">
      <w:start w:val="1"/>
      <w:numFmt w:val="bullet"/>
      <w:lvlText w:val=""/>
      <w:lvlJc w:val="left"/>
      <w:pPr>
        <w:ind w:left="6480" w:hanging="360"/>
      </w:pPr>
      <w:rPr>
        <w:rFonts w:ascii="Wingdings" w:hAnsi="Wingdings" w:hint="default"/>
      </w:rPr>
    </w:lvl>
  </w:abstractNum>
  <w:abstractNum w:abstractNumId="1" w15:restartNumberingAfterBreak="0">
    <w:nsid w:val="1FDE4CCD"/>
    <w:multiLevelType w:val="hybridMultilevel"/>
    <w:tmpl w:val="225EF866"/>
    <w:lvl w:ilvl="0" w:tplc="2F00806A">
      <w:start w:val="1"/>
      <w:numFmt w:val="bullet"/>
      <w:lvlText w:val=""/>
      <w:lvlJc w:val="left"/>
      <w:pPr>
        <w:tabs>
          <w:tab w:val="num" w:pos="720"/>
        </w:tabs>
        <w:ind w:left="720" w:hanging="360"/>
      </w:pPr>
      <w:rPr>
        <w:rFonts w:ascii="Symbol" w:hAnsi="Symbol" w:hint="default"/>
      </w:rPr>
    </w:lvl>
    <w:lvl w:ilvl="1" w:tplc="D110D928" w:tentative="1">
      <w:start w:val="1"/>
      <w:numFmt w:val="bullet"/>
      <w:lvlText w:val="o"/>
      <w:lvlJc w:val="left"/>
      <w:pPr>
        <w:ind w:left="1440" w:hanging="360"/>
      </w:pPr>
      <w:rPr>
        <w:rFonts w:ascii="Courier New" w:hAnsi="Courier New" w:cs="Courier New" w:hint="default"/>
      </w:rPr>
    </w:lvl>
    <w:lvl w:ilvl="2" w:tplc="6122ADB6" w:tentative="1">
      <w:start w:val="1"/>
      <w:numFmt w:val="bullet"/>
      <w:lvlText w:val=""/>
      <w:lvlJc w:val="left"/>
      <w:pPr>
        <w:ind w:left="2160" w:hanging="360"/>
      </w:pPr>
      <w:rPr>
        <w:rFonts w:ascii="Wingdings" w:hAnsi="Wingdings" w:hint="default"/>
      </w:rPr>
    </w:lvl>
    <w:lvl w:ilvl="3" w:tplc="9424957C" w:tentative="1">
      <w:start w:val="1"/>
      <w:numFmt w:val="bullet"/>
      <w:lvlText w:val=""/>
      <w:lvlJc w:val="left"/>
      <w:pPr>
        <w:ind w:left="2880" w:hanging="360"/>
      </w:pPr>
      <w:rPr>
        <w:rFonts w:ascii="Symbol" w:hAnsi="Symbol" w:hint="default"/>
      </w:rPr>
    </w:lvl>
    <w:lvl w:ilvl="4" w:tplc="2D5A325A" w:tentative="1">
      <w:start w:val="1"/>
      <w:numFmt w:val="bullet"/>
      <w:lvlText w:val="o"/>
      <w:lvlJc w:val="left"/>
      <w:pPr>
        <w:ind w:left="3600" w:hanging="360"/>
      </w:pPr>
      <w:rPr>
        <w:rFonts w:ascii="Courier New" w:hAnsi="Courier New" w:cs="Courier New" w:hint="default"/>
      </w:rPr>
    </w:lvl>
    <w:lvl w:ilvl="5" w:tplc="26B8C9CE" w:tentative="1">
      <w:start w:val="1"/>
      <w:numFmt w:val="bullet"/>
      <w:lvlText w:val=""/>
      <w:lvlJc w:val="left"/>
      <w:pPr>
        <w:ind w:left="4320" w:hanging="360"/>
      </w:pPr>
      <w:rPr>
        <w:rFonts w:ascii="Wingdings" w:hAnsi="Wingdings" w:hint="default"/>
      </w:rPr>
    </w:lvl>
    <w:lvl w:ilvl="6" w:tplc="77FEA912" w:tentative="1">
      <w:start w:val="1"/>
      <w:numFmt w:val="bullet"/>
      <w:lvlText w:val=""/>
      <w:lvlJc w:val="left"/>
      <w:pPr>
        <w:ind w:left="5040" w:hanging="360"/>
      </w:pPr>
      <w:rPr>
        <w:rFonts w:ascii="Symbol" w:hAnsi="Symbol" w:hint="default"/>
      </w:rPr>
    </w:lvl>
    <w:lvl w:ilvl="7" w:tplc="B4387348" w:tentative="1">
      <w:start w:val="1"/>
      <w:numFmt w:val="bullet"/>
      <w:lvlText w:val="o"/>
      <w:lvlJc w:val="left"/>
      <w:pPr>
        <w:ind w:left="5760" w:hanging="360"/>
      </w:pPr>
      <w:rPr>
        <w:rFonts w:ascii="Courier New" w:hAnsi="Courier New" w:cs="Courier New" w:hint="default"/>
      </w:rPr>
    </w:lvl>
    <w:lvl w:ilvl="8" w:tplc="2A4C1ED4" w:tentative="1">
      <w:start w:val="1"/>
      <w:numFmt w:val="bullet"/>
      <w:lvlText w:val=""/>
      <w:lvlJc w:val="left"/>
      <w:pPr>
        <w:ind w:left="6480" w:hanging="360"/>
      </w:pPr>
      <w:rPr>
        <w:rFonts w:ascii="Wingdings" w:hAnsi="Wingdings" w:hint="default"/>
      </w:rPr>
    </w:lvl>
  </w:abstractNum>
  <w:abstractNum w:abstractNumId="2" w15:restartNumberingAfterBreak="0">
    <w:nsid w:val="222B140C"/>
    <w:multiLevelType w:val="hybridMultilevel"/>
    <w:tmpl w:val="9CC497D2"/>
    <w:lvl w:ilvl="0" w:tplc="10087AEC">
      <w:start w:val="1"/>
      <w:numFmt w:val="bullet"/>
      <w:lvlText w:val=""/>
      <w:lvlJc w:val="left"/>
      <w:pPr>
        <w:tabs>
          <w:tab w:val="num" w:pos="720"/>
        </w:tabs>
        <w:ind w:left="720" w:hanging="360"/>
      </w:pPr>
      <w:rPr>
        <w:rFonts w:ascii="Symbol" w:hAnsi="Symbol" w:hint="default"/>
      </w:rPr>
    </w:lvl>
    <w:lvl w:ilvl="1" w:tplc="1A544EB0" w:tentative="1">
      <w:start w:val="1"/>
      <w:numFmt w:val="bullet"/>
      <w:lvlText w:val="o"/>
      <w:lvlJc w:val="left"/>
      <w:pPr>
        <w:ind w:left="1440" w:hanging="360"/>
      </w:pPr>
      <w:rPr>
        <w:rFonts w:ascii="Courier New" w:hAnsi="Courier New" w:cs="Courier New" w:hint="default"/>
      </w:rPr>
    </w:lvl>
    <w:lvl w:ilvl="2" w:tplc="3224E4E6" w:tentative="1">
      <w:start w:val="1"/>
      <w:numFmt w:val="bullet"/>
      <w:lvlText w:val=""/>
      <w:lvlJc w:val="left"/>
      <w:pPr>
        <w:ind w:left="2160" w:hanging="360"/>
      </w:pPr>
      <w:rPr>
        <w:rFonts w:ascii="Wingdings" w:hAnsi="Wingdings" w:hint="default"/>
      </w:rPr>
    </w:lvl>
    <w:lvl w:ilvl="3" w:tplc="C81A0F46" w:tentative="1">
      <w:start w:val="1"/>
      <w:numFmt w:val="bullet"/>
      <w:lvlText w:val=""/>
      <w:lvlJc w:val="left"/>
      <w:pPr>
        <w:ind w:left="2880" w:hanging="360"/>
      </w:pPr>
      <w:rPr>
        <w:rFonts w:ascii="Symbol" w:hAnsi="Symbol" w:hint="default"/>
      </w:rPr>
    </w:lvl>
    <w:lvl w:ilvl="4" w:tplc="5EEC1B64" w:tentative="1">
      <w:start w:val="1"/>
      <w:numFmt w:val="bullet"/>
      <w:lvlText w:val="o"/>
      <w:lvlJc w:val="left"/>
      <w:pPr>
        <w:ind w:left="3600" w:hanging="360"/>
      </w:pPr>
      <w:rPr>
        <w:rFonts w:ascii="Courier New" w:hAnsi="Courier New" w:cs="Courier New" w:hint="default"/>
      </w:rPr>
    </w:lvl>
    <w:lvl w:ilvl="5" w:tplc="3F806B1E" w:tentative="1">
      <w:start w:val="1"/>
      <w:numFmt w:val="bullet"/>
      <w:lvlText w:val=""/>
      <w:lvlJc w:val="left"/>
      <w:pPr>
        <w:ind w:left="4320" w:hanging="360"/>
      </w:pPr>
      <w:rPr>
        <w:rFonts w:ascii="Wingdings" w:hAnsi="Wingdings" w:hint="default"/>
      </w:rPr>
    </w:lvl>
    <w:lvl w:ilvl="6" w:tplc="ECAE8B0A" w:tentative="1">
      <w:start w:val="1"/>
      <w:numFmt w:val="bullet"/>
      <w:lvlText w:val=""/>
      <w:lvlJc w:val="left"/>
      <w:pPr>
        <w:ind w:left="5040" w:hanging="360"/>
      </w:pPr>
      <w:rPr>
        <w:rFonts w:ascii="Symbol" w:hAnsi="Symbol" w:hint="default"/>
      </w:rPr>
    </w:lvl>
    <w:lvl w:ilvl="7" w:tplc="7E202F50" w:tentative="1">
      <w:start w:val="1"/>
      <w:numFmt w:val="bullet"/>
      <w:lvlText w:val="o"/>
      <w:lvlJc w:val="left"/>
      <w:pPr>
        <w:ind w:left="5760" w:hanging="360"/>
      </w:pPr>
      <w:rPr>
        <w:rFonts w:ascii="Courier New" w:hAnsi="Courier New" w:cs="Courier New" w:hint="default"/>
      </w:rPr>
    </w:lvl>
    <w:lvl w:ilvl="8" w:tplc="956018A6" w:tentative="1">
      <w:start w:val="1"/>
      <w:numFmt w:val="bullet"/>
      <w:lvlText w:val=""/>
      <w:lvlJc w:val="left"/>
      <w:pPr>
        <w:ind w:left="6480" w:hanging="360"/>
      </w:pPr>
      <w:rPr>
        <w:rFonts w:ascii="Wingdings" w:hAnsi="Wingdings" w:hint="default"/>
      </w:rPr>
    </w:lvl>
  </w:abstractNum>
  <w:abstractNum w:abstractNumId="3" w15:restartNumberingAfterBreak="0">
    <w:nsid w:val="7DAB6000"/>
    <w:multiLevelType w:val="hybridMultilevel"/>
    <w:tmpl w:val="6C7C359E"/>
    <w:lvl w:ilvl="0" w:tplc="BF92E2F6">
      <w:start w:val="1"/>
      <w:numFmt w:val="bullet"/>
      <w:lvlText w:val=""/>
      <w:lvlJc w:val="left"/>
      <w:pPr>
        <w:tabs>
          <w:tab w:val="num" w:pos="720"/>
        </w:tabs>
        <w:ind w:left="720" w:hanging="360"/>
      </w:pPr>
      <w:rPr>
        <w:rFonts w:ascii="Symbol" w:hAnsi="Symbol" w:hint="default"/>
      </w:rPr>
    </w:lvl>
    <w:lvl w:ilvl="1" w:tplc="8ECE13F6" w:tentative="1">
      <w:start w:val="1"/>
      <w:numFmt w:val="bullet"/>
      <w:lvlText w:val="o"/>
      <w:lvlJc w:val="left"/>
      <w:pPr>
        <w:ind w:left="1440" w:hanging="360"/>
      </w:pPr>
      <w:rPr>
        <w:rFonts w:ascii="Courier New" w:hAnsi="Courier New" w:cs="Courier New" w:hint="default"/>
      </w:rPr>
    </w:lvl>
    <w:lvl w:ilvl="2" w:tplc="39C0F4AE" w:tentative="1">
      <w:start w:val="1"/>
      <w:numFmt w:val="bullet"/>
      <w:lvlText w:val=""/>
      <w:lvlJc w:val="left"/>
      <w:pPr>
        <w:ind w:left="2160" w:hanging="360"/>
      </w:pPr>
      <w:rPr>
        <w:rFonts w:ascii="Wingdings" w:hAnsi="Wingdings" w:hint="default"/>
      </w:rPr>
    </w:lvl>
    <w:lvl w:ilvl="3" w:tplc="58B47C50" w:tentative="1">
      <w:start w:val="1"/>
      <w:numFmt w:val="bullet"/>
      <w:lvlText w:val=""/>
      <w:lvlJc w:val="left"/>
      <w:pPr>
        <w:ind w:left="2880" w:hanging="360"/>
      </w:pPr>
      <w:rPr>
        <w:rFonts w:ascii="Symbol" w:hAnsi="Symbol" w:hint="default"/>
      </w:rPr>
    </w:lvl>
    <w:lvl w:ilvl="4" w:tplc="7C703912" w:tentative="1">
      <w:start w:val="1"/>
      <w:numFmt w:val="bullet"/>
      <w:lvlText w:val="o"/>
      <w:lvlJc w:val="left"/>
      <w:pPr>
        <w:ind w:left="3600" w:hanging="360"/>
      </w:pPr>
      <w:rPr>
        <w:rFonts w:ascii="Courier New" w:hAnsi="Courier New" w:cs="Courier New" w:hint="default"/>
      </w:rPr>
    </w:lvl>
    <w:lvl w:ilvl="5" w:tplc="D4868E9A" w:tentative="1">
      <w:start w:val="1"/>
      <w:numFmt w:val="bullet"/>
      <w:lvlText w:val=""/>
      <w:lvlJc w:val="left"/>
      <w:pPr>
        <w:ind w:left="4320" w:hanging="360"/>
      </w:pPr>
      <w:rPr>
        <w:rFonts w:ascii="Wingdings" w:hAnsi="Wingdings" w:hint="default"/>
      </w:rPr>
    </w:lvl>
    <w:lvl w:ilvl="6" w:tplc="27C8741A" w:tentative="1">
      <w:start w:val="1"/>
      <w:numFmt w:val="bullet"/>
      <w:lvlText w:val=""/>
      <w:lvlJc w:val="left"/>
      <w:pPr>
        <w:ind w:left="5040" w:hanging="360"/>
      </w:pPr>
      <w:rPr>
        <w:rFonts w:ascii="Symbol" w:hAnsi="Symbol" w:hint="default"/>
      </w:rPr>
    </w:lvl>
    <w:lvl w:ilvl="7" w:tplc="6A36370A" w:tentative="1">
      <w:start w:val="1"/>
      <w:numFmt w:val="bullet"/>
      <w:lvlText w:val="o"/>
      <w:lvlJc w:val="left"/>
      <w:pPr>
        <w:ind w:left="5760" w:hanging="360"/>
      </w:pPr>
      <w:rPr>
        <w:rFonts w:ascii="Courier New" w:hAnsi="Courier New" w:cs="Courier New" w:hint="default"/>
      </w:rPr>
    </w:lvl>
    <w:lvl w:ilvl="8" w:tplc="FDB0D2E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E2"/>
    <w:rsid w:val="003318E2"/>
    <w:rsid w:val="00A1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BBB07-EC2B-46E6-B0AA-80D138F2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2E20"/>
    <w:rPr>
      <w:sz w:val="16"/>
      <w:szCs w:val="16"/>
    </w:rPr>
  </w:style>
  <w:style w:type="paragraph" w:styleId="CommentText">
    <w:name w:val="annotation text"/>
    <w:basedOn w:val="Normal"/>
    <w:link w:val="CommentTextChar"/>
    <w:semiHidden/>
    <w:unhideWhenUsed/>
    <w:rsid w:val="00302E20"/>
    <w:rPr>
      <w:sz w:val="20"/>
      <w:szCs w:val="20"/>
    </w:rPr>
  </w:style>
  <w:style w:type="character" w:customStyle="1" w:styleId="CommentTextChar">
    <w:name w:val="Comment Text Char"/>
    <w:basedOn w:val="DefaultParagraphFont"/>
    <w:link w:val="CommentText"/>
    <w:semiHidden/>
    <w:rsid w:val="00302E20"/>
  </w:style>
  <w:style w:type="paragraph" w:styleId="CommentSubject">
    <w:name w:val="annotation subject"/>
    <w:basedOn w:val="CommentText"/>
    <w:next w:val="CommentText"/>
    <w:link w:val="CommentSubjectChar"/>
    <w:semiHidden/>
    <w:unhideWhenUsed/>
    <w:rsid w:val="00302E20"/>
    <w:rPr>
      <w:b/>
      <w:bCs/>
    </w:rPr>
  </w:style>
  <w:style w:type="character" w:customStyle="1" w:styleId="CommentSubjectChar">
    <w:name w:val="Comment Subject Char"/>
    <w:basedOn w:val="CommentTextChar"/>
    <w:link w:val="CommentSubject"/>
    <w:semiHidden/>
    <w:rsid w:val="00302E20"/>
    <w:rPr>
      <w:b/>
      <w:bCs/>
    </w:rPr>
  </w:style>
  <w:style w:type="character" w:styleId="Hyperlink">
    <w:name w:val="Hyperlink"/>
    <w:basedOn w:val="DefaultParagraphFont"/>
    <w:unhideWhenUsed/>
    <w:rsid w:val="006E2BCF"/>
    <w:rPr>
      <w:color w:val="0000FF" w:themeColor="hyperlink"/>
      <w:u w:val="single"/>
    </w:rPr>
  </w:style>
  <w:style w:type="character" w:styleId="FollowedHyperlink">
    <w:name w:val="FollowedHyperlink"/>
    <w:basedOn w:val="DefaultParagraphFont"/>
    <w:semiHidden/>
    <w:unhideWhenUsed/>
    <w:rsid w:val="00F5592D"/>
    <w:rPr>
      <w:color w:val="800080" w:themeColor="followedHyperlink"/>
      <w:u w:val="single"/>
    </w:rPr>
  </w:style>
  <w:style w:type="paragraph" w:styleId="ListParagraph">
    <w:name w:val="List Paragraph"/>
    <w:basedOn w:val="Normal"/>
    <w:uiPriority w:val="34"/>
    <w:qFormat/>
    <w:rsid w:val="008D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5371</Characters>
  <Application>Microsoft Office Word</Application>
  <DocSecurity>4</DocSecurity>
  <Lines>118</Lines>
  <Paragraphs>35</Paragraphs>
  <ScaleCrop>false</ScaleCrop>
  <HeadingPairs>
    <vt:vector size="2" baseType="variant">
      <vt:variant>
        <vt:lpstr>Title</vt:lpstr>
      </vt:variant>
      <vt:variant>
        <vt:i4>1</vt:i4>
      </vt:variant>
    </vt:vector>
  </HeadingPairs>
  <TitlesOfParts>
    <vt:vector size="1" baseType="lpstr">
      <vt:lpstr>BA - HB03802 (Committee Report (Substituted))</vt:lpstr>
    </vt:vector>
  </TitlesOfParts>
  <Company>State of Texas</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28508</dc:subject>
  <dc:creator>State of Texas</dc:creator>
  <dc:description>HB 3802 by Guillen-(H)Environmental Regulation (Substitute Document Number: 86R 26364)</dc:description>
  <cp:lastModifiedBy>Laura Ramsay</cp:lastModifiedBy>
  <cp:revision>2</cp:revision>
  <cp:lastPrinted>2003-11-26T17:21:00Z</cp:lastPrinted>
  <dcterms:created xsi:type="dcterms:W3CDTF">2019-04-24T01:03:00Z</dcterms:created>
  <dcterms:modified xsi:type="dcterms:W3CDTF">2019-04-24T01:03:00Z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19.109.391</vt:lpwstr>
  </property>
</Properties>
</file>