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45EA" w:rsidTr="00345119">
        <w:tc>
          <w:tcPr>
            <w:tcW w:w="9576" w:type="dxa"/>
            <w:noWrap/>
          </w:tcPr>
          <w:p w:rsidR="008423E4" w:rsidRPr="0022177D" w:rsidRDefault="009A5A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5A60" w:rsidP="008423E4">
      <w:pPr>
        <w:jc w:val="center"/>
      </w:pPr>
    </w:p>
    <w:p w:rsidR="008423E4" w:rsidRPr="00B31F0E" w:rsidRDefault="009A5A60" w:rsidP="008423E4"/>
    <w:p w:rsidR="008423E4" w:rsidRPr="00742794" w:rsidRDefault="009A5A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45EA" w:rsidTr="00345119">
        <w:tc>
          <w:tcPr>
            <w:tcW w:w="9576" w:type="dxa"/>
          </w:tcPr>
          <w:p w:rsidR="008423E4" w:rsidRPr="00861995" w:rsidRDefault="009A5A60" w:rsidP="009C10D7">
            <w:pPr>
              <w:jc w:val="right"/>
            </w:pPr>
            <w:r>
              <w:t>C.S.H.B. 3831</w:t>
            </w:r>
          </w:p>
        </w:tc>
      </w:tr>
      <w:tr w:rsidR="007A45EA" w:rsidTr="00345119">
        <w:tc>
          <w:tcPr>
            <w:tcW w:w="9576" w:type="dxa"/>
          </w:tcPr>
          <w:p w:rsidR="008423E4" w:rsidRPr="00861995" w:rsidRDefault="009A5A60" w:rsidP="00C31FC5">
            <w:pPr>
              <w:jc w:val="right"/>
            </w:pPr>
            <w:r>
              <w:t xml:space="preserve">By: </w:t>
            </w:r>
            <w:r>
              <w:t>Sherman, Sr.</w:t>
            </w:r>
          </w:p>
        </w:tc>
      </w:tr>
      <w:tr w:rsidR="007A45EA" w:rsidTr="00345119">
        <w:tc>
          <w:tcPr>
            <w:tcW w:w="9576" w:type="dxa"/>
          </w:tcPr>
          <w:p w:rsidR="008423E4" w:rsidRPr="00861995" w:rsidRDefault="009A5A60" w:rsidP="00345119">
            <w:pPr>
              <w:jc w:val="right"/>
            </w:pPr>
            <w:r>
              <w:t>Corrections</w:t>
            </w:r>
          </w:p>
        </w:tc>
      </w:tr>
      <w:tr w:rsidR="007A45EA" w:rsidTr="00345119">
        <w:tc>
          <w:tcPr>
            <w:tcW w:w="9576" w:type="dxa"/>
          </w:tcPr>
          <w:p w:rsidR="008423E4" w:rsidRDefault="009A5A6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5A60" w:rsidP="008423E4">
      <w:pPr>
        <w:tabs>
          <w:tab w:val="right" w:pos="9360"/>
        </w:tabs>
      </w:pPr>
    </w:p>
    <w:p w:rsidR="008423E4" w:rsidRDefault="009A5A60" w:rsidP="008423E4"/>
    <w:p w:rsidR="008423E4" w:rsidRDefault="009A5A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45EA" w:rsidTr="00345119">
        <w:tc>
          <w:tcPr>
            <w:tcW w:w="9576" w:type="dxa"/>
          </w:tcPr>
          <w:p w:rsidR="008423E4" w:rsidRPr="00A8133F" w:rsidRDefault="009A5A60" w:rsidP="00524C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5A60" w:rsidP="00524C2D"/>
          <w:p w:rsidR="008423E4" w:rsidRDefault="009A5A60" w:rsidP="00524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</w:t>
            </w:r>
            <w:r>
              <w:t xml:space="preserve">revocation of release and re-incarceration of </w:t>
            </w:r>
            <w:r>
              <w:t xml:space="preserve">defendants on community supervision for technical violations is very costly to the state and ineffective in reducing recidivism. </w:t>
            </w:r>
            <w:r>
              <w:t>Furthermore, i</w:t>
            </w:r>
            <w:r>
              <w:t xml:space="preserve">t has been suggested that the cost savings </w:t>
            </w:r>
            <w:r>
              <w:t xml:space="preserve">realized </w:t>
            </w:r>
            <w:r>
              <w:t xml:space="preserve">from keeping certain defendants on community supervision </w:t>
            </w:r>
            <w:r>
              <w:t xml:space="preserve">and </w:t>
            </w:r>
            <w:r>
              <w:t>out of</w:t>
            </w:r>
            <w:r>
              <w:t xml:space="preserve"> correctional facilities </w:t>
            </w:r>
            <w:r>
              <w:t>would be better invested in</w:t>
            </w:r>
            <w:r>
              <w:t xml:space="preserve"> strengthen</w:t>
            </w:r>
            <w:r>
              <w:t>ing</w:t>
            </w:r>
            <w:r>
              <w:t xml:space="preserve"> community supervision</w:t>
            </w:r>
            <w:r>
              <w:t>, decreasing revocations, and improving</w:t>
            </w:r>
            <w:r>
              <w:t xml:space="preserve"> </w:t>
            </w:r>
            <w:r>
              <w:t xml:space="preserve">public safety. </w:t>
            </w:r>
            <w:r>
              <w:t>C.S.H.B.</w:t>
            </w:r>
            <w:r>
              <w:t xml:space="preserve"> 3831 seeks to </w:t>
            </w:r>
            <w:r>
              <w:t xml:space="preserve">accomplish these goals </w:t>
            </w:r>
            <w:r>
              <w:t xml:space="preserve">by prohibiting </w:t>
            </w:r>
            <w:r>
              <w:t xml:space="preserve">the </w:t>
            </w:r>
            <w:r>
              <w:t>revocation of community supervision</w:t>
            </w:r>
            <w:r>
              <w:t xml:space="preserve"> for</w:t>
            </w:r>
            <w:r>
              <w:t xml:space="preserve"> </w:t>
            </w:r>
            <w:r>
              <w:t>ce</w:t>
            </w:r>
            <w:r>
              <w:t xml:space="preserve">rtain </w:t>
            </w:r>
            <w:r>
              <w:t xml:space="preserve">state jail felony defendants and third degree felony </w:t>
            </w:r>
            <w:r>
              <w:t xml:space="preserve">defendants </w:t>
            </w:r>
            <w:r>
              <w:t>based on technical</w:t>
            </w:r>
            <w:r>
              <w:t xml:space="preserve"> violations</w:t>
            </w:r>
            <w:r>
              <w:t xml:space="preserve">. </w:t>
            </w:r>
          </w:p>
          <w:p w:rsidR="008423E4" w:rsidRPr="00E26B13" w:rsidRDefault="009A5A60" w:rsidP="00524C2D">
            <w:pPr>
              <w:rPr>
                <w:b/>
              </w:rPr>
            </w:pPr>
          </w:p>
        </w:tc>
      </w:tr>
      <w:tr w:rsidR="007A45EA" w:rsidTr="00345119">
        <w:tc>
          <w:tcPr>
            <w:tcW w:w="9576" w:type="dxa"/>
          </w:tcPr>
          <w:p w:rsidR="0017725B" w:rsidRDefault="009A5A60" w:rsidP="00524C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5A60" w:rsidP="00524C2D">
            <w:pPr>
              <w:rPr>
                <w:b/>
                <w:u w:val="single"/>
              </w:rPr>
            </w:pPr>
          </w:p>
          <w:p w:rsidR="002F09B9" w:rsidRPr="002F09B9" w:rsidRDefault="009A5A60" w:rsidP="00524C2D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9A5A60" w:rsidP="00524C2D">
            <w:pPr>
              <w:rPr>
                <w:b/>
                <w:u w:val="single"/>
              </w:rPr>
            </w:pPr>
          </w:p>
        </w:tc>
      </w:tr>
      <w:tr w:rsidR="007A45EA" w:rsidTr="00345119">
        <w:tc>
          <w:tcPr>
            <w:tcW w:w="9576" w:type="dxa"/>
          </w:tcPr>
          <w:p w:rsidR="008423E4" w:rsidRPr="00A8133F" w:rsidRDefault="009A5A60" w:rsidP="00524C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5A60" w:rsidP="00524C2D"/>
          <w:p w:rsidR="002F09B9" w:rsidRDefault="009A5A60" w:rsidP="00524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9A5A60" w:rsidP="00524C2D">
            <w:pPr>
              <w:rPr>
                <w:b/>
              </w:rPr>
            </w:pPr>
          </w:p>
        </w:tc>
      </w:tr>
      <w:tr w:rsidR="007A45EA" w:rsidTr="00345119">
        <w:tc>
          <w:tcPr>
            <w:tcW w:w="9576" w:type="dxa"/>
          </w:tcPr>
          <w:p w:rsidR="008423E4" w:rsidRPr="00A8133F" w:rsidRDefault="009A5A60" w:rsidP="00524C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5A60" w:rsidP="00524C2D"/>
          <w:p w:rsidR="00D833A6" w:rsidRDefault="009A5A60" w:rsidP="00524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3831 amends the Code of Criminal Procedure</w:t>
            </w:r>
            <w:r>
              <w:t xml:space="preserve">, with regard to a hearing for an alleged </w:t>
            </w:r>
            <w:r>
              <w:t xml:space="preserve">technical </w:t>
            </w:r>
            <w:r>
              <w:t xml:space="preserve">violation of community supervision by a defendant </w:t>
            </w:r>
            <w:r>
              <w:t>on commun</w:t>
            </w:r>
            <w:r>
              <w:t>ity supervision for a</w:t>
            </w:r>
            <w:r>
              <w:t xml:space="preserve"> state jail </w:t>
            </w:r>
            <w:r>
              <w:t xml:space="preserve">felony </w:t>
            </w:r>
            <w:r>
              <w:t>or third degree felony offense</w:t>
            </w:r>
            <w:r>
              <w:t>,</w:t>
            </w:r>
            <w:r>
              <w:t xml:space="preserve"> to prohibit a judge</w:t>
            </w:r>
            <w:r>
              <w:t xml:space="preserve"> </w:t>
            </w:r>
            <w:r w:rsidRPr="00FE4C0C">
              <w:t xml:space="preserve">from revoking </w:t>
            </w:r>
            <w:r>
              <w:t>the</w:t>
            </w:r>
            <w:r w:rsidRPr="00FE4C0C">
              <w:t xml:space="preserve"> defendant's community supervision if after </w:t>
            </w:r>
            <w:r>
              <w:t>the</w:t>
            </w:r>
            <w:r w:rsidRPr="00FE4C0C">
              <w:t xml:space="preserve"> hearing </w:t>
            </w:r>
            <w:r w:rsidRPr="00D833A6">
              <w:t xml:space="preserve">the judge determines the defendant violated </w:t>
            </w:r>
            <w:r>
              <w:t>not more than three</w:t>
            </w:r>
            <w:r w:rsidRPr="00D833A6">
              <w:t xml:space="preserve"> conditions of community sup</w:t>
            </w:r>
            <w:r w:rsidRPr="00D833A6">
              <w:t>ervision</w:t>
            </w:r>
            <w:r>
              <w:t xml:space="preserve"> other than</w:t>
            </w:r>
            <w:r>
              <w:t xml:space="preserve"> a violation</w:t>
            </w:r>
            <w:r>
              <w:t>:</w:t>
            </w:r>
          </w:p>
          <w:p w:rsidR="004F6B45" w:rsidRDefault="009A5A60" w:rsidP="00524C2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committed by </w:t>
            </w:r>
            <w:r>
              <w:t xml:space="preserve">a defendant who in the five years preceding the violation </w:t>
            </w:r>
            <w:r>
              <w:t>was</w:t>
            </w:r>
            <w:r>
              <w:t xml:space="preserve"> convicted of certain felony offenses or sexually violent offenses or w</w:t>
            </w:r>
            <w:r>
              <w:t xml:space="preserve">ho </w:t>
            </w:r>
            <w:r w:rsidRPr="00470C5F">
              <w:t>has previously had community supervision revoked</w:t>
            </w:r>
            <w:r>
              <w:t>;</w:t>
            </w:r>
            <w:r>
              <w:t xml:space="preserve"> </w:t>
            </w:r>
            <w:r>
              <w:t>or</w:t>
            </w:r>
          </w:p>
          <w:p w:rsidR="002A452E" w:rsidRDefault="009A5A60" w:rsidP="00524C2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involving</w:t>
            </w:r>
            <w:r>
              <w:t>:</w:t>
            </w:r>
            <w:r>
              <w:t xml:space="preserve"> </w:t>
            </w:r>
          </w:p>
          <w:p w:rsidR="00DB7610" w:rsidRDefault="009A5A60" w:rsidP="00524C2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committing</w:t>
            </w:r>
            <w:r>
              <w:t xml:space="preserve"> family violence;</w:t>
            </w:r>
          </w:p>
          <w:p w:rsidR="00DC6F1D" w:rsidRDefault="009A5A60" w:rsidP="00524C2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4C53B2">
              <w:t>being arrested for, charged w</w:t>
            </w:r>
            <w:r>
              <w:t xml:space="preserve">ith, or convicted of a </w:t>
            </w:r>
            <w:r>
              <w:t xml:space="preserve">felony </w:t>
            </w:r>
            <w:r>
              <w:t>offense, a</w:t>
            </w:r>
            <w:r>
              <w:t>n</w:t>
            </w:r>
            <w:r>
              <w:t xml:space="preserve"> offense against the person</w:t>
            </w:r>
            <w:r>
              <w:t xml:space="preserve"> punishable as a misdemeanor</w:t>
            </w:r>
            <w:r>
              <w:t xml:space="preserve">, or </w:t>
            </w:r>
            <w:r>
              <w:t xml:space="preserve">an offense involving </w:t>
            </w:r>
            <w:r w:rsidRPr="004C53B2">
              <w:t>the possession of a firearm or any prohibited weapon;</w:t>
            </w:r>
          </w:p>
          <w:p w:rsidR="004C53B2" w:rsidRDefault="009A5A60" w:rsidP="00524C2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4C53B2">
              <w:t>contacting the victim of the offe</w:t>
            </w:r>
            <w:r w:rsidRPr="004C53B2">
              <w:t>nse for which the defendant was placed on community supervision;</w:t>
            </w:r>
          </w:p>
          <w:p w:rsidR="005F1A14" w:rsidRDefault="009A5A60" w:rsidP="00524C2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failing to register as a sex offender</w:t>
            </w:r>
            <w:r>
              <w:t xml:space="preserve"> under statutory provisions relating to the sex offender registration program</w:t>
            </w:r>
            <w:r>
              <w:t xml:space="preserve"> </w:t>
            </w:r>
            <w:r>
              <w:t>for whom</w:t>
            </w:r>
            <w:r>
              <w:t xml:space="preserve"> </w:t>
            </w:r>
            <w:r>
              <w:t xml:space="preserve">registration is </w:t>
            </w:r>
            <w:r>
              <w:t>required as a condition of community supervision;</w:t>
            </w:r>
          </w:p>
          <w:p w:rsidR="004C53B2" w:rsidRDefault="009A5A60" w:rsidP="00524C2D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f</w:t>
            </w:r>
            <w:r>
              <w:t xml:space="preserve">ailing to report to a supervision officer as directed for </w:t>
            </w:r>
            <w:r>
              <w:t>30</w:t>
            </w:r>
            <w:r>
              <w:t xml:space="preserve"> days or more if a supervision officer, peace officer, or other officer directed by the court attempted to contact the defendant in person at the defendant's last known residence or employment add</w:t>
            </w:r>
            <w:r>
              <w:t>ress; or</w:t>
            </w:r>
          </w:p>
          <w:p w:rsidR="004C53B2" w:rsidRDefault="009A5A60" w:rsidP="00524C2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leaving </w:t>
            </w:r>
            <w:r>
              <w:t xml:space="preserve">Texas </w:t>
            </w:r>
            <w:r>
              <w:t>without permission.</w:t>
            </w:r>
          </w:p>
          <w:p w:rsidR="005B13D1" w:rsidRDefault="009A5A60" w:rsidP="00524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6452D" w:rsidRDefault="009A5A60" w:rsidP="00524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3831 </w:t>
            </w:r>
            <w:r w:rsidRPr="00265E36">
              <w:t xml:space="preserve">authorizes </w:t>
            </w:r>
            <w:r>
              <w:t xml:space="preserve">a </w:t>
            </w:r>
            <w:r w:rsidRPr="00265E36">
              <w:t xml:space="preserve">judge </w:t>
            </w:r>
            <w:r>
              <w:t xml:space="preserve">who makes such a determination </w:t>
            </w:r>
            <w:r w:rsidRPr="00265E36">
              <w:t xml:space="preserve">to continue, extend, or modify the </w:t>
            </w:r>
            <w:r>
              <w:t xml:space="preserve">defendant's </w:t>
            </w:r>
            <w:r w:rsidRPr="00265E36">
              <w:t>community supervision</w:t>
            </w:r>
            <w:r>
              <w:t>, other than a modification that requires the defendant to serve a term of confi</w:t>
            </w:r>
            <w:r>
              <w:t>nement based on the violation</w:t>
            </w:r>
            <w:r w:rsidRPr="00265E36">
              <w:t>.</w:t>
            </w:r>
            <w:r>
              <w:t xml:space="preserve"> </w:t>
            </w:r>
            <w:r>
              <w:t xml:space="preserve">The bill expressly does not limit the authority of a judge to revoke a defendant's community supervision or to impose a term of confinement if the defendant violates four or more </w:t>
            </w:r>
            <w:r>
              <w:t xml:space="preserve">applicable </w:t>
            </w:r>
            <w:r>
              <w:t>conditions of community supervision</w:t>
            </w:r>
            <w:r>
              <w:t>,</w:t>
            </w:r>
            <w:r>
              <w:t xml:space="preserve"> </w:t>
            </w:r>
            <w:r>
              <w:t xml:space="preserve">except that before </w:t>
            </w:r>
            <w:r>
              <w:t xml:space="preserve">the defendant </w:t>
            </w:r>
            <w:r>
              <w:t xml:space="preserve">may be required </w:t>
            </w:r>
            <w:r>
              <w:t xml:space="preserve">to serve a term of confinement in a facility other than a community corrections facility or a substance abuse felony punishment facility operated by the Texas Department of </w:t>
            </w:r>
            <w:r>
              <w:t>C</w:t>
            </w:r>
            <w:r>
              <w:t>riminal Justice</w:t>
            </w:r>
            <w:r>
              <w:t xml:space="preserve"> the judge</w:t>
            </w:r>
            <w:r>
              <w:t xml:space="preserve"> must</w:t>
            </w:r>
            <w:r>
              <w:t>:</w:t>
            </w:r>
          </w:p>
          <w:p w:rsidR="00A6452D" w:rsidRDefault="009A5A60" w:rsidP="00524C2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exhaust all alternatives to incarceration;</w:t>
            </w:r>
          </w:p>
          <w:p w:rsidR="00A6452D" w:rsidRDefault="009A5A60" w:rsidP="00524C2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follow the continuum of care for a defendant who requires inpatient treatment for substance abuse, if applicable; and</w:t>
            </w:r>
          </w:p>
          <w:p w:rsidR="00A6452D" w:rsidRDefault="009A5A60" w:rsidP="00524C2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determine that the defendant is an imminent threat to the public.</w:t>
            </w:r>
          </w:p>
          <w:p w:rsidR="0012615E" w:rsidRDefault="009A5A60" w:rsidP="00524C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D12C89" w:rsidRDefault="009A5A60" w:rsidP="00524C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3831 </w:t>
            </w:r>
            <w:r>
              <w:t xml:space="preserve">authorizes </w:t>
            </w:r>
            <w:r>
              <w:t xml:space="preserve">a </w:t>
            </w:r>
            <w:r>
              <w:t xml:space="preserve">judge </w:t>
            </w:r>
            <w:r>
              <w:t xml:space="preserve">that imposes such confinement </w:t>
            </w:r>
            <w:r>
              <w:t xml:space="preserve">to impose any other condition the judge determines appropriate to be effective after the defendant completes </w:t>
            </w:r>
            <w:r>
              <w:t xml:space="preserve">the </w:t>
            </w:r>
            <w:r>
              <w:t>term of confinement.</w:t>
            </w:r>
          </w:p>
          <w:p w:rsidR="00D12C89" w:rsidRDefault="009A5A60" w:rsidP="00524C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9A5A60" w:rsidP="00524C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</w:t>
            </w:r>
            <w:r>
              <w:t xml:space="preserve">3831 </w:t>
            </w:r>
            <w:r>
              <w:t xml:space="preserve">prohibits a judge </w:t>
            </w:r>
            <w:r>
              <w:t>that determines a defendant has only violated conditi</w:t>
            </w:r>
            <w:r>
              <w:t xml:space="preserve">ons of community supervision related to failing to timely pay a fee or arriving late to a scheduled meeting with the defendant's supervision officer </w:t>
            </w:r>
            <w:r>
              <w:t xml:space="preserve">from revoking </w:t>
            </w:r>
            <w:r>
              <w:t>the</w:t>
            </w:r>
            <w:r>
              <w:t xml:space="preserve"> defendant's community supervision. The prohibition does not affect the defendant's obliga</w:t>
            </w:r>
            <w:r>
              <w:t>tion to pay any fees as required as a condition of community supervision.</w:t>
            </w:r>
          </w:p>
          <w:p w:rsidR="008423E4" w:rsidRPr="00835628" w:rsidRDefault="009A5A60" w:rsidP="00524C2D">
            <w:pPr>
              <w:rPr>
                <w:b/>
              </w:rPr>
            </w:pPr>
          </w:p>
        </w:tc>
      </w:tr>
      <w:tr w:rsidR="007A45EA" w:rsidTr="00345119">
        <w:tc>
          <w:tcPr>
            <w:tcW w:w="9576" w:type="dxa"/>
          </w:tcPr>
          <w:p w:rsidR="008423E4" w:rsidRPr="00A8133F" w:rsidRDefault="009A5A60" w:rsidP="00524C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5A60" w:rsidP="00524C2D"/>
          <w:p w:rsidR="008423E4" w:rsidRPr="003624F2" w:rsidRDefault="009A5A60" w:rsidP="00524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A5A60" w:rsidP="00524C2D">
            <w:pPr>
              <w:rPr>
                <w:b/>
              </w:rPr>
            </w:pPr>
          </w:p>
        </w:tc>
      </w:tr>
      <w:tr w:rsidR="007A45EA" w:rsidTr="00345119">
        <w:tc>
          <w:tcPr>
            <w:tcW w:w="9576" w:type="dxa"/>
          </w:tcPr>
          <w:p w:rsidR="00C31FC5" w:rsidRDefault="009A5A60" w:rsidP="00524C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561C2" w:rsidRDefault="009A5A60" w:rsidP="00524C2D">
            <w:pPr>
              <w:jc w:val="both"/>
            </w:pPr>
          </w:p>
          <w:p w:rsidR="008561C2" w:rsidRDefault="009A5A60" w:rsidP="00524C2D">
            <w:pPr>
              <w:jc w:val="both"/>
            </w:pPr>
            <w:r>
              <w:t>While C.S.H.B. 3831 may differ from the original in minor or nonsubstantive ways, the following summari</w:t>
            </w:r>
            <w:r>
              <w:t>zes the substantial differences between the introduced and committee substitute versions of the bill.</w:t>
            </w:r>
          </w:p>
          <w:p w:rsidR="008561C2" w:rsidRDefault="009A5A60" w:rsidP="00524C2D">
            <w:pPr>
              <w:jc w:val="both"/>
            </w:pPr>
          </w:p>
          <w:p w:rsidR="005C7035" w:rsidRDefault="009A5A60" w:rsidP="00524C2D">
            <w:pPr>
              <w:jc w:val="both"/>
            </w:pPr>
            <w:r>
              <w:t xml:space="preserve">The substitute limits the </w:t>
            </w:r>
            <w:r>
              <w:t xml:space="preserve">applicability of </w:t>
            </w:r>
            <w:r>
              <w:t xml:space="preserve">the </w:t>
            </w:r>
            <w:r>
              <w:t xml:space="preserve">bill's </w:t>
            </w:r>
            <w:r>
              <w:t xml:space="preserve">provisions to </w:t>
            </w:r>
            <w:r>
              <w:t xml:space="preserve">a defendant on community supervision for a state jail </w:t>
            </w:r>
            <w:r>
              <w:t xml:space="preserve">felony </w:t>
            </w:r>
            <w:r>
              <w:t>or third degree felony</w:t>
            </w:r>
            <w:r>
              <w:t xml:space="preserve"> f</w:t>
            </w:r>
            <w:r>
              <w:t xml:space="preserve">or whom a judge </w:t>
            </w:r>
            <w:r>
              <w:t>makes a determination relating to certain technical violations.</w:t>
            </w:r>
            <w:r>
              <w:t xml:space="preserve"> </w:t>
            </w:r>
            <w:r>
              <w:t xml:space="preserve"> </w:t>
            </w:r>
          </w:p>
          <w:p w:rsidR="005C7035" w:rsidRDefault="009A5A60" w:rsidP="00524C2D">
            <w:pPr>
              <w:jc w:val="both"/>
            </w:pPr>
          </w:p>
          <w:p w:rsidR="005C7035" w:rsidRDefault="009A5A60" w:rsidP="00524C2D">
            <w:pPr>
              <w:jc w:val="both"/>
            </w:pPr>
            <w:r>
              <w:t>The substitute, with regard to the types of defendants who are excluded from the bill's applicability, makes the following revisions:</w:t>
            </w:r>
          </w:p>
          <w:p w:rsidR="005C7035" w:rsidRDefault="009A5A60" w:rsidP="00524C2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for a defendant excluded based on a previous conviction for certain felony offenses or sexually violent offenses, changes the applicable time period from 10 years to </w:t>
            </w:r>
            <w:r>
              <w:t>five</w:t>
            </w:r>
            <w:r>
              <w:t xml:space="preserve"> years;</w:t>
            </w:r>
          </w:p>
          <w:p w:rsidR="005C7035" w:rsidRDefault="009A5A60" w:rsidP="00524C2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excludes a defendant who committed a violation that involves failing to regist</w:t>
            </w:r>
            <w:r>
              <w:t xml:space="preserve">er as a sex offender for whom registration is required as a condition of community supervision; </w:t>
            </w:r>
          </w:p>
          <w:p w:rsidR="005C7035" w:rsidRDefault="009A5A60" w:rsidP="00524C2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excludes a defendant who committed a violation that involves committing family violence; and</w:t>
            </w:r>
          </w:p>
          <w:p w:rsidR="005C7035" w:rsidRDefault="009A5A60" w:rsidP="00524C2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reduces from 90 days or more to 30 days or more the duration for w</w:t>
            </w:r>
            <w:r>
              <w:t>hich a defendant's failure to report to a supervision officer as directed under certain circumstances excludes a defendant.</w:t>
            </w:r>
          </w:p>
          <w:p w:rsidR="00E843F9" w:rsidRDefault="009A5A60" w:rsidP="00524C2D">
            <w:pPr>
              <w:jc w:val="both"/>
            </w:pPr>
          </w:p>
          <w:p w:rsidR="005C7035" w:rsidRDefault="009A5A60" w:rsidP="00524C2D">
            <w:pPr>
              <w:jc w:val="both"/>
            </w:pPr>
            <w:r>
              <w:t xml:space="preserve">The substitute </w:t>
            </w:r>
            <w:r>
              <w:t>limits</w:t>
            </w:r>
            <w:r>
              <w:t xml:space="preserve"> the</w:t>
            </w:r>
            <w:r>
              <w:t xml:space="preserve"> continuation, extension, or modification of community supervision </w:t>
            </w:r>
            <w:r>
              <w:t>authoriz</w:t>
            </w:r>
            <w:r>
              <w:t>ed</w:t>
            </w:r>
            <w:r>
              <w:t xml:space="preserve"> under the bill's provisions </w:t>
            </w:r>
            <w:r>
              <w:t xml:space="preserve">to a change </w:t>
            </w:r>
            <w:r>
              <w:t>in</w:t>
            </w:r>
            <w:r>
              <w:t xml:space="preserve"> community supervision </w:t>
            </w:r>
            <w:r>
              <w:t xml:space="preserve">other than a modification that requires the defendant to serve a term of confinement based on the violation. </w:t>
            </w:r>
            <w:r>
              <w:t>The substitute expressly does not limit the authority of a judge to revoke a defendant's community supervision</w:t>
            </w:r>
            <w:r>
              <w:t xml:space="preserve"> or to impose a term of confinement if the defendant violates four or more conditions of community supervision.</w:t>
            </w:r>
            <w:r>
              <w:t xml:space="preserve"> </w:t>
            </w:r>
          </w:p>
          <w:p w:rsidR="005C7035" w:rsidRDefault="009A5A60" w:rsidP="00524C2D">
            <w:pPr>
              <w:jc w:val="both"/>
            </w:pPr>
          </w:p>
          <w:p w:rsidR="005C7035" w:rsidRDefault="009A5A60" w:rsidP="00524C2D">
            <w:pPr>
              <w:jc w:val="both"/>
            </w:pPr>
            <w:r>
              <w:t>The substitute does not include a provision capping at 90 days the term of confinement in certain facilities that a judge may require a defend</w:t>
            </w:r>
            <w:r>
              <w:t xml:space="preserve">ant to serve for an applicable technical violation. The substitute includes a provision conditioning the authority of a judge to require a defendant to serve a term of confinement in such facilities on the judge taking certain actions. </w:t>
            </w:r>
          </w:p>
          <w:p w:rsidR="00F14C61" w:rsidRDefault="009A5A60" w:rsidP="00524C2D">
            <w:pPr>
              <w:jc w:val="both"/>
            </w:pPr>
          </w:p>
          <w:p w:rsidR="0044208C" w:rsidRDefault="009A5A60" w:rsidP="00524C2D">
            <w:pPr>
              <w:jc w:val="both"/>
            </w:pPr>
            <w:r>
              <w:t>The substitute inc</w:t>
            </w:r>
            <w:r>
              <w:t>ludes provision</w:t>
            </w:r>
            <w:r>
              <w:t>s</w:t>
            </w:r>
            <w:r>
              <w:t>:</w:t>
            </w:r>
          </w:p>
          <w:p w:rsidR="0044208C" w:rsidRDefault="009A5A60" w:rsidP="00524C2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 w:rsidRPr="00F14C61">
              <w:t>prohibit</w:t>
            </w:r>
            <w:r>
              <w:t>ing</w:t>
            </w:r>
            <w:r w:rsidRPr="00F14C61">
              <w:t xml:space="preserve"> a judge from revoking a defendant's community supervision </w:t>
            </w:r>
            <w:r>
              <w:t>if the</w:t>
            </w:r>
            <w:r w:rsidRPr="00F14C61">
              <w:t xml:space="preserve"> defendant</w:t>
            </w:r>
            <w:r>
              <w:t>'</w:t>
            </w:r>
            <w:r>
              <w:t>s</w:t>
            </w:r>
            <w:r w:rsidRPr="00F14C61">
              <w:t xml:space="preserve"> only violat</w:t>
            </w:r>
            <w:r>
              <w:t>ions</w:t>
            </w:r>
            <w:r w:rsidRPr="00F14C61">
              <w:t xml:space="preserve"> relate to failing to timely pay a fee or arriving late to a scheduled meeting with the defendant's supervision officer</w:t>
            </w:r>
            <w:r>
              <w:t>;</w:t>
            </w:r>
            <w:r>
              <w:t xml:space="preserve"> and </w:t>
            </w:r>
          </w:p>
          <w:p w:rsidR="00F14C61" w:rsidRDefault="009A5A60" w:rsidP="00524C2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providin</w:t>
            </w:r>
            <w:r>
              <w:t>g that the bill does not affect the defendant's obligation to pay any fees as required as a condition of community supervision.</w:t>
            </w:r>
          </w:p>
          <w:p w:rsidR="00865FDF" w:rsidRPr="008561C2" w:rsidRDefault="009A5A60" w:rsidP="00524C2D">
            <w:pPr>
              <w:jc w:val="both"/>
            </w:pPr>
          </w:p>
        </w:tc>
      </w:tr>
      <w:tr w:rsidR="007A45EA" w:rsidTr="00345119">
        <w:tc>
          <w:tcPr>
            <w:tcW w:w="9576" w:type="dxa"/>
          </w:tcPr>
          <w:p w:rsidR="00C31FC5" w:rsidRPr="009C1E9A" w:rsidRDefault="009A5A60" w:rsidP="00524C2D">
            <w:pPr>
              <w:rPr>
                <w:b/>
                <w:u w:val="single"/>
              </w:rPr>
            </w:pPr>
          </w:p>
        </w:tc>
      </w:tr>
      <w:tr w:rsidR="007A45EA" w:rsidTr="00345119">
        <w:tc>
          <w:tcPr>
            <w:tcW w:w="9576" w:type="dxa"/>
          </w:tcPr>
          <w:p w:rsidR="00C31FC5" w:rsidRPr="00C31FC5" w:rsidRDefault="009A5A60" w:rsidP="00524C2D">
            <w:pPr>
              <w:jc w:val="both"/>
            </w:pPr>
          </w:p>
        </w:tc>
      </w:tr>
    </w:tbl>
    <w:p w:rsidR="008423E4" w:rsidRPr="00BE0E75" w:rsidRDefault="009A5A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5A6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5A60">
      <w:r>
        <w:separator/>
      </w:r>
    </w:p>
  </w:endnote>
  <w:endnote w:type="continuationSeparator" w:id="0">
    <w:p w:rsidR="00000000" w:rsidRDefault="009A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45EA" w:rsidTr="009C1E9A">
      <w:trPr>
        <w:cantSplit/>
      </w:trPr>
      <w:tc>
        <w:tcPr>
          <w:tcW w:w="0" w:type="pct"/>
        </w:tcPr>
        <w:p w:rsidR="00137D90" w:rsidRDefault="009A5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5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5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5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5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45EA" w:rsidTr="009C1E9A">
      <w:trPr>
        <w:cantSplit/>
      </w:trPr>
      <w:tc>
        <w:tcPr>
          <w:tcW w:w="0" w:type="pct"/>
        </w:tcPr>
        <w:p w:rsidR="00EC379B" w:rsidRDefault="009A5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5A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29459</w:t>
          </w:r>
        </w:p>
      </w:tc>
      <w:tc>
        <w:tcPr>
          <w:tcW w:w="2453" w:type="pct"/>
        </w:tcPr>
        <w:p w:rsidR="00EC379B" w:rsidRDefault="009A5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19.114.1307</w:t>
          </w:r>
          <w:r>
            <w:fldChar w:fldCharType="end"/>
          </w:r>
        </w:p>
      </w:tc>
    </w:tr>
    <w:tr w:rsidR="007A45EA" w:rsidTr="009C1E9A">
      <w:trPr>
        <w:cantSplit/>
      </w:trPr>
      <w:tc>
        <w:tcPr>
          <w:tcW w:w="0" w:type="pct"/>
        </w:tcPr>
        <w:p w:rsidR="00EC379B" w:rsidRDefault="009A5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5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26881</w:t>
          </w:r>
        </w:p>
      </w:tc>
      <w:tc>
        <w:tcPr>
          <w:tcW w:w="2453" w:type="pct"/>
        </w:tcPr>
        <w:p w:rsidR="00EC379B" w:rsidRDefault="009A5A60" w:rsidP="006D504F">
          <w:pPr>
            <w:pStyle w:val="Footer"/>
            <w:rPr>
              <w:rStyle w:val="PageNumber"/>
            </w:rPr>
          </w:pPr>
        </w:p>
        <w:p w:rsidR="00EC379B" w:rsidRDefault="009A5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45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5A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A5A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5A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5A60">
      <w:r>
        <w:separator/>
      </w:r>
    </w:p>
  </w:footnote>
  <w:footnote w:type="continuationSeparator" w:id="0">
    <w:p w:rsidR="00000000" w:rsidRDefault="009A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8F"/>
    <w:multiLevelType w:val="hybridMultilevel"/>
    <w:tmpl w:val="6A525D8C"/>
    <w:lvl w:ilvl="0" w:tplc="6B004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40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0A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6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A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83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23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EA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AC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251"/>
    <w:multiLevelType w:val="hybridMultilevel"/>
    <w:tmpl w:val="3022F7AE"/>
    <w:lvl w:ilvl="0" w:tplc="D4126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20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0D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29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CE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A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9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0F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7BC0"/>
    <w:multiLevelType w:val="hybridMultilevel"/>
    <w:tmpl w:val="7E40C7A8"/>
    <w:lvl w:ilvl="0" w:tplc="9148F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48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84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5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6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23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4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B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E6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158F"/>
    <w:multiLevelType w:val="hybridMultilevel"/>
    <w:tmpl w:val="8416AA9A"/>
    <w:lvl w:ilvl="0" w:tplc="EA380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8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E0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4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47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C6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24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60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4F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CB3"/>
    <w:multiLevelType w:val="hybridMultilevel"/>
    <w:tmpl w:val="E006DA50"/>
    <w:lvl w:ilvl="0" w:tplc="07AA6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04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6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5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43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6A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17BF"/>
    <w:multiLevelType w:val="hybridMultilevel"/>
    <w:tmpl w:val="59CEC1E0"/>
    <w:lvl w:ilvl="0" w:tplc="C7FA4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6F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86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2D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61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C3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1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5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2A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A"/>
    <w:rsid w:val="007A45EA"/>
    <w:rsid w:val="009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06C4B9-6A69-43B8-9900-074D8AC3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49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4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9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97A"/>
    <w:rPr>
      <w:b/>
      <w:bCs/>
    </w:rPr>
  </w:style>
  <w:style w:type="character" w:styleId="Hyperlink">
    <w:name w:val="Hyperlink"/>
    <w:basedOn w:val="DefaultParagraphFont"/>
    <w:unhideWhenUsed/>
    <w:rsid w:val="008E4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4B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A7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5865</Characters>
  <Application>Microsoft Office Word</Application>
  <DocSecurity>4</DocSecurity>
  <Lines>130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HB03831 (Committee Report (Substituted))</vt:lpstr>
    </vt:vector>
  </TitlesOfParts>
  <Company>State of Texas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29459</dc:subject>
  <dc:creator>State of Texas</dc:creator>
  <dc:description>HB 3831 by Sherman, Sr.-(H)Corrections (Substitute Document Number: 86R 26881)</dc:description>
  <cp:lastModifiedBy>Scotty Wimberley</cp:lastModifiedBy>
  <cp:revision>2</cp:revision>
  <cp:lastPrinted>2003-11-26T17:21:00Z</cp:lastPrinted>
  <dcterms:created xsi:type="dcterms:W3CDTF">2019-04-29T17:43:00Z</dcterms:created>
  <dcterms:modified xsi:type="dcterms:W3CDTF">2019-04-29T17:43:00Z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19.114.1307</vt:lpwstr>
  </property>
</Properties>
</file>