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58A9" w:rsidTr="00345119">
        <w:tc>
          <w:tcPr>
            <w:tcW w:w="9576" w:type="dxa"/>
            <w:noWrap/>
          </w:tcPr>
          <w:p w:rsidR="008423E4" w:rsidRPr="0022177D" w:rsidRDefault="009E3E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3E64" w:rsidP="008423E4">
      <w:pPr>
        <w:jc w:val="center"/>
      </w:pPr>
    </w:p>
    <w:p w:rsidR="008423E4" w:rsidRPr="00B31F0E" w:rsidRDefault="009E3E64" w:rsidP="008423E4"/>
    <w:p w:rsidR="008423E4" w:rsidRPr="00742794" w:rsidRDefault="009E3E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58A9" w:rsidTr="00345119">
        <w:tc>
          <w:tcPr>
            <w:tcW w:w="9576" w:type="dxa"/>
          </w:tcPr>
          <w:p w:rsidR="008423E4" w:rsidRPr="00861995" w:rsidRDefault="009E3E64" w:rsidP="00345119">
            <w:pPr>
              <w:jc w:val="right"/>
            </w:pPr>
            <w:r>
              <w:t>C.S.H.B. 3867</w:t>
            </w:r>
          </w:p>
        </w:tc>
      </w:tr>
      <w:tr w:rsidR="008058A9" w:rsidTr="00345119">
        <w:tc>
          <w:tcPr>
            <w:tcW w:w="9576" w:type="dxa"/>
          </w:tcPr>
          <w:p w:rsidR="008423E4" w:rsidRPr="00861995" w:rsidRDefault="009E3E64" w:rsidP="00CD6356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8058A9" w:rsidTr="00345119">
        <w:tc>
          <w:tcPr>
            <w:tcW w:w="9576" w:type="dxa"/>
          </w:tcPr>
          <w:p w:rsidR="008423E4" w:rsidRPr="00861995" w:rsidRDefault="009E3E64" w:rsidP="00345119">
            <w:pPr>
              <w:jc w:val="right"/>
            </w:pPr>
            <w:r>
              <w:t>State Affairs</w:t>
            </w:r>
          </w:p>
        </w:tc>
      </w:tr>
      <w:tr w:rsidR="008058A9" w:rsidTr="00345119">
        <w:tc>
          <w:tcPr>
            <w:tcW w:w="9576" w:type="dxa"/>
          </w:tcPr>
          <w:p w:rsidR="008423E4" w:rsidRDefault="009E3E64" w:rsidP="00CD6356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E3E64" w:rsidP="008423E4">
      <w:pPr>
        <w:tabs>
          <w:tab w:val="right" w:pos="9360"/>
        </w:tabs>
      </w:pPr>
    </w:p>
    <w:p w:rsidR="008423E4" w:rsidRDefault="009E3E64" w:rsidP="008423E4"/>
    <w:p w:rsidR="008423E4" w:rsidRDefault="009E3E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58A9" w:rsidTr="00345119">
        <w:tc>
          <w:tcPr>
            <w:tcW w:w="9576" w:type="dxa"/>
          </w:tcPr>
          <w:p w:rsidR="008423E4" w:rsidRPr="00A8133F" w:rsidRDefault="009E3E64" w:rsidP="009C62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3E64" w:rsidP="009C62D3"/>
          <w:p w:rsidR="008423E4" w:rsidRDefault="009E3E64" w:rsidP="009C62D3">
            <w:pPr>
              <w:pStyle w:val="Header"/>
              <w:jc w:val="both"/>
            </w:pPr>
            <w:r>
              <w:t>It has been noted that</w:t>
            </w:r>
            <w:r>
              <w:t xml:space="preserve"> the legislature </w:t>
            </w:r>
            <w:r>
              <w:t xml:space="preserve">has granted </w:t>
            </w:r>
            <w:r>
              <w:t xml:space="preserve">the Public Utility Commission </w:t>
            </w:r>
            <w:r>
              <w:t xml:space="preserve">of Texas (PUC) authority </w:t>
            </w:r>
            <w:r>
              <w:t xml:space="preserve">to use outside consultants, auditors, engineers, or attorneys to represent the </w:t>
            </w:r>
            <w:r>
              <w:t xml:space="preserve">PUC </w:t>
            </w:r>
            <w:r>
              <w:t xml:space="preserve">in </w:t>
            </w:r>
            <w:r>
              <w:t xml:space="preserve">certain </w:t>
            </w:r>
            <w:r>
              <w:t xml:space="preserve">proceedings before the Federal Energy Regulatory Commission. </w:t>
            </w:r>
            <w:r>
              <w:t>There have been calls to extend this authority to the PUC with regard to</w:t>
            </w:r>
            <w:r>
              <w:t xml:space="preserve"> </w:t>
            </w:r>
            <w:r>
              <w:t xml:space="preserve">proceedings </w:t>
            </w:r>
            <w:r w:rsidRPr="0081751D">
              <w:t>before a reg</w:t>
            </w:r>
            <w:r>
              <w:t>iona</w:t>
            </w:r>
            <w:r>
              <w:t>l transmission organization,</w:t>
            </w:r>
            <w:r w:rsidRPr="0081751D">
              <w:t xml:space="preserve"> </w:t>
            </w:r>
            <w:r>
              <w:t>as these proceedings can have</w:t>
            </w:r>
            <w:r>
              <w:t xml:space="preserve"> significant impact on Texas ratepayers. </w:t>
            </w:r>
            <w:r>
              <w:t>C.S.</w:t>
            </w:r>
            <w:r>
              <w:t>H.B. 3867 seeks to provide the PUC with that authority</w:t>
            </w:r>
            <w:r>
              <w:t>.</w:t>
            </w:r>
          </w:p>
          <w:p w:rsidR="008423E4" w:rsidRPr="00E26B13" w:rsidRDefault="009E3E64" w:rsidP="009C62D3">
            <w:pPr>
              <w:rPr>
                <w:b/>
              </w:rPr>
            </w:pPr>
          </w:p>
        </w:tc>
      </w:tr>
      <w:tr w:rsidR="008058A9" w:rsidTr="00345119">
        <w:tc>
          <w:tcPr>
            <w:tcW w:w="9576" w:type="dxa"/>
          </w:tcPr>
          <w:p w:rsidR="0017725B" w:rsidRDefault="009E3E64" w:rsidP="009C6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3E64" w:rsidP="009C62D3">
            <w:pPr>
              <w:rPr>
                <w:b/>
                <w:u w:val="single"/>
              </w:rPr>
            </w:pPr>
          </w:p>
          <w:p w:rsidR="00376147" w:rsidRPr="00376147" w:rsidRDefault="009E3E64" w:rsidP="009C62D3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E3E64" w:rsidP="009C62D3">
            <w:pPr>
              <w:rPr>
                <w:b/>
                <w:u w:val="single"/>
              </w:rPr>
            </w:pPr>
          </w:p>
        </w:tc>
      </w:tr>
      <w:tr w:rsidR="008058A9" w:rsidTr="00345119">
        <w:tc>
          <w:tcPr>
            <w:tcW w:w="9576" w:type="dxa"/>
          </w:tcPr>
          <w:p w:rsidR="008423E4" w:rsidRPr="00A8133F" w:rsidRDefault="009E3E64" w:rsidP="009C62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3E64" w:rsidP="009C62D3"/>
          <w:p w:rsidR="00376147" w:rsidRDefault="009E3E64" w:rsidP="009C6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9E3E64" w:rsidP="009C62D3">
            <w:pPr>
              <w:rPr>
                <w:b/>
              </w:rPr>
            </w:pPr>
          </w:p>
        </w:tc>
      </w:tr>
      <w:tr w:rsidR="008058A9" w:rsidTr="00345119">
        <w:tc>
          <w:tcPr>
            <w:tcW w:w="9576" w:type="dxa"/>
          </w:tcPr>
          <w:p w:rsidR="008423E4" w:rsidRPr="00A8133F" w:rsidRDefault="009E3E64" w:rsidP="009C62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3E64" w:rsidP="009C62D3"/>
          <w:p w:rsidR="00340E54" w:rsidRDefault="009E3E64" w:rsidP="009C62D3">
            <w:pPr>
              <w:pStyle w:val="Header"/>
              <w:jc w:val="both"/>
            </w:pPr>
            <w:r>
              <w:t xml:space="preserve">C.S.H.B. 3867 amends the Utilities Code to authorize the Public </w:t>
            </w:r>
            <w:r>
              <w:t xml:space="preserve">Utility </w:t>
            </w:r>
            <w:r>
              <w:t>Commission of Texas (PUC) to retain an</w:t>
            </w:r>
            <w:r>
              <w:t xml:space="preserve">y consultant, accountant, auditor, engineer, or attorney the PUC considers necessary to represent the PUC in a proceeding before a regional transmission organization, or before a court reviewing proceedings of a regional transmission organization, related </w:t>
            </w:r>
            <w:r>
              <w:t xml:space="preserve">to: </w:t>
            </w:r>
          </w:p>
          <w:p w:rsidR="00340E54" w:rsidRDefault="009E3E64" w:rsidP="009C62D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relationship of an electric utility to a power region, regional transmission organization, or independent system operator; </w:t>
            </w:r>
          </w:p>
          <w:p w:rsidR="00340E54" w:rsidRDefault="009E3E64" w:rsidP="009C62D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approval of an agreement among an electric utility and the electric utility's affiliates concerning the coordination of</w:t>
            </w:r>
            <w:r>
              <w:t xml:space="preserve"> the operations of the electric utility and the electric utility's affiliates; or </w:t>
            </w:r>
          </w:p>
          <w:p w:rsidR="008423E4" w:rsidRDefault="009E3E64" w:rsidP="009C62D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other matters related to an electric utility that may affect the ultimate rates paid by retail customers in Texas.</w:t>
            </w:r>
          </w:p>
          <w:p w:rsidR="00340E54" w:rsidRDefault="009E3E64" w:rsidP="009C62D3">
            <w:pPr>
              <w:pStyle w:val="Header"/>
              <w:spacing w:before="120"/>
              <w:jc w:val="both"/>
            </w:pPr>
            <w:r>
              <w:t xml:space="preserve">The bill authorizes </w:t>
            </w:r>
            <w:r>
              <w:t xml:space="preserve">the </w:t>
            </w:r>
            <w:r>
              <w:t>assistance to</w:t>
            </w:r>
            <w:r>
              <w:t xml:space="preserve"> include </w:t>
            </w:r>
            <w:r>
              <w:t>conducting a</w:t>
            </w:r>
            <w:r>
              <w:t xml:space="preserve"> study or an investigation</w:t>
            </w:r>
            <w:r>
              <w:t>, presenting evidence,</w:t>
            </w:r>
            <w:r>
              <w:t xml:space="preserve"> or</w:t>
            </w:r>
            <w:r>
              <w:t xml:space="preserve"> </w:t>
            </w:r>
            <w:r>
              <w:t>advising or representing the PUC</w:t>
            </w:r>
            <w:r>
              <w:t xml:space="preserve"> and prohibits the PUC from engaging any individual who is required to register under statutory provisions governing lobbyist registration</w:t>
            </w:r>
            <w:r>
              <w:t>.</w:t>
            </w:r>
            <w:r>
              <w:t xml:space="preserve"> The bill requires the PUC to con</w:t>
            </w:r>
            <w:r>
              <w:t>sult the attorney general before retaining a consultant, accountant, auditor, or engineer and subjects retention of an attorney to the approval of the attorney general.</w:t>
            </w:r>
          </w:p>
          <w:p w:rsidR="00340E54" w:rsidRDefault="009E3E64" w:rsidP="009C62D3">
            <w:pPr>
              <w:pStyle w:val="Header"/>
              <w:spacing w:before="120" w:after="120"/>
              <w:contextualSpacing/>
              <w:jc w:val="both"/>
            </w:pPr>
          </w:p>
          <w:p w:rsidR="008423E4" w:rsidRDefault="009E3E64" w:rsidP="009C62D3">
            <w:pPr>
              <w:pStyle w:val="Header"/>
              <w:spacing w:before="120"/>
              <w:jc w:val="both"/>
            </w:pPr>
            <w:r>
              <w:t>C.S.</w:t>
            </w:r>
            <w:r>
              <w:t>H.B. 3867 requires the</w:t>
            </w:r>
            <w:r w:rsidRPr="00340E54">
              <w:t xml:space="preserve"> electric utility that is the subject of the proceeding </w:t>
            </w:r>
            <w:r>
              <w:t>to</w:t>
            </w:r>
            <w:r w:rsidRPr="00340E54">
              <w:t xml:space="preserve"> pay timely the reasonable costs of the </w:t>
            </w:r>
            <w:r>
              <w:t xml:space="preserve">retained services, </w:t>
            </w:r>
            <w:r w:rsidRPr="00340E54">
              <w:t xml:space="preserve">as determined by the </w:t>
            </w:r>
            <w:r>
              <w:t>PUC</w:t>
            </w:r>
            <w:r>
              <w:t>,</w:t>
            </w:r>
            <w:r>
              <w:t xml:space="preserve"> </w:t>
            </w:r>
            <w:r>
              <w:t xml:space="preserve">not to </w:t>
            </w:r>
            <w:r>
              <w:t>exceed</w:t>
            </w:r>
            <w:r w:rsidRPr="00340E54">
              <w:t xml:space="preserve"> $1.5 million in a 12-month period.</w:t>
            </w:r>
            <w:r>
              <w:t xml:space="preserve"> </w:t>
            </w:r>
            <w:r w:rsidRPr="00625202">
              <w:t xml:space="preserve">The </w:t>
            </w:r>
            <w:r>
              <w:t xml:space="preserve">bill requires the PUC to </w:t>
            </w:r>
            <w:r w:rsidRPr="00625202">
              <w:t>allow an electric utility to recover both the total costs</w:t>
            </w:r>
            <w:r>
              <w:t xml:space="preserve"> for retained services</w:t>
            </w:r>
            <w:r w:rsidRPr="00625202">
              <w:t xml:space="preserve"> the electric </w:t>
            </w:r>
            <w:r w:rsidRPr="00625202">
              <w:t xml:space="preserve">utility paid and the carrying charges for those costs through a rider established annually to recover the costs paid and carrying charges incurred during the preceding calendar year. The </w:t>
            </w:r>
            <w:r>
              <w:t xml:space="preserve">bill prohibits the </w:t>
            </w:r>
            <w:r w:rsidRPr="00625202">
              <w:t xml:space="preserve">rider </w:t>
            </w:r>
            <w:r>
              <w:t>from being</w:t>
            </w:r>
            <w:r w:rsidRPr="00625202">
              <w:t xml:space="preserve"> implemented before the rider is r</w:t>
            </w:r>
            <w:r w:rsidRPr="00625202">
              <w:t xml:space="preserve">eviewed and approved by the </w:t>
            </w:r>
            <w:r>
              <w:t>PUC</w:t>
            </w:r>
            <w:r w:rsidRPr="00625202">
              <w:t>.</w:t>
            </w:r>
            <w:r>
              <w:t xml:space="preserve"> </w:t>
            </w:r>
            <w:r>
              <w:t xml:space="preserve">The bill's provisions expire </w:t>
            </w:r>
            <w:r>
              <w:t>September 1, 2023.</w:t>
            </w:r>
          </w:p>
          <w:p w:rsidR="00235298" w:rsidRPr="006C1E7A" w:rsidRDefault="009E3E64" w:rsidP="009C62D3">
            <w:pPr>
              <w:pStyle w:val="Header"/>
              <w:contextualSpacing/>
              <w:jc w:val="both"/>
            </w:pPr>
          </w:p>
        </w:tc>
      </w:tr>
      <w:tr w:rsidR="008058A9" w:rsidTr="00345119">
        <w:tc>
          <w:tcPr>
            <w:tcW w:w="9576" w:type="dxa"/>
          </w:tcPr>
          <w:p w:rsidR="008423E4" w:rsidRPr="00A8133F" w:rsidRDefault="009E3E64" w:rsidP="009C62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3E64" w:rsidP="009C62D3"/>
          <w:p w:rsidR="008423E4" w:rsidRPr="003624F2" w:rsidRDefault="009E3E64" w:rsidP="009C6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E3E64" w:rsidP="009C62D3">
            <w:pPr>
              <w:rPr>
                <w:b/>
              </w:rPr>
            </w:pPr>
          </w:p>
        </w:tc>
      </w:tr>
      <w:tr w:rsidR="008058A9" w:rsidTr="00345119">
        <w:tc>
          <w:tcPr>
            <w:tcW w:w="9576" w:type="dxa"/>
          </w:tcPr>
          <w:p w:rsidR="00CD6356" w:rsidRDefault="009E3E64" w:rsidP="009C62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A0CDA" w:rsidRDefault="009E3E64" w:rsidP="009C62D3">
            <w:pPr>
              <w:jc w:val="both"/>
            </w:pPr>
          </w:p>
          <w:p w:rsidR="001A0CDA" w:rsidRDefault="009E3E64" w:rsidP="009C62D3">
            <w:pPr>
              <w:jc w:val="both"/>
            </w:pPr>
            <w:r>
              <w:t xml:space="preserve">C.S.H.B. 3867 differs from the original </w:t>
            </w:r>
            <w:r>
              <w:t xml:space="preserve">only by including a council </w:t>
            </w:r>
            <w:r>
              <w:t>draft number</w:t>
            </w:r>
            <w:r>
              <w:t xml:space="preserve"> in the footer</w:t>
            </w:r>
            <w:r>
              <w:t>.</w:t>
            </w:r>
          </w:p>
          <w:p w:rsidR="001A0CDA" w:rsidRPr="001A0CDA" w:rsidRDefault="009E3E64" w:rsidP="009C62D3">
            <w:pPr>
              <w:jc w:val="both"/>
            </w:pPr>
          </w:p>
        </w:tc>
      </w:tr>
      <w:tr w:rsidR="008058A9" w:rsidTr="00345119">
        <w:tc>
          <w:tcPr>
            <w:tcW w:w="9576" w:type="dxa"/>
          </w:tcPr>
          <w:p w:rsidR="00CD6356" w:rsidRPr="009C1E9A" w:rsidRDefault="009E3E64" w:rsidP="009C62D3">
            <w:pPr>
              <w:rPr>
                <w:b/>
                <w:u w:val="single"/>
              </w:rPr>
            </w:pPr>
          </w:p>
        </w:tc>
      </w:tr>
      <w:tr w:rsidR="008058A9" w:rsidTr="00345119">
        <w:tc>
          <w:tcPr>
            <w:tcW w:w="9576" w:type="dxa"/>
          </w:tcPr>
          <w:p w:rsidR="00CD6356" w:rsidRPr="001A0CDA" w:rsidRDefault="009E3E64" w:rsidP="009C62D3">
            <w:pPr>
              <w:jc w:val="both"/>
            </w:pPr>
          </w:p>
        </w:tc>
      </w:tr>
    </w:tbl>
    <w:p w:rsidR="008423E4" w:rsidRPr="00BE0E75" w:rsidRDefault="009E3E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3E6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3E64">
      <w:r>
        <w:separator/>
      </w:r>
    </w:p>
  </w:endnote>
  <w:endnote w:type="continuationSeparator" w:id="0">
    <w:p w:rsidR="00000000" w:rsidRDefault="009E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58A9" w:rsidTr="009C1E9A">
      <w:trPr>
        <w:cantSplit/>
      </w:trPr>
      <w:tc>
        <w:tcPr>
          <w:tcW w:w="0" w:type="pct"/>
        </w:tcPr>
        <w:p w:rsidR="00137D90" w:rsidRDefault="009E3E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3E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3E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3E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3E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58A9" w:rsidTr="009C1E9A">
      <w:trPr>
        <w:cantSplit/>
      </w:trPr>
      <w:tc>
        <w:tcPr>
          <w:tcW w:w="0" w:type="pct"/>
        </w:tcPr>
        <w:p w:rsidR="00EC379B" w:rsidRDefault="009E3E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3E64" w:rsidP="00CD635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26006</w:t>
          </w:r>
        </w:p>
      </w:tc>
      <w:tc>
        <w:tcPr>
          <w:tcW w:w="2453" w:type="pct"/>
        </w:tcPr>
        <w:p w:rsidR="00EC379B" w:rsidRDefault="009E3E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19.100.807</w:t>
          </w:r>
          <w:r>
            <w:fldChar w:fldCharType="end"/>
          </w:r>
        </w:p>
      </w:tc>
    </w:tr>
    <w:tr w:rsidR="008058A9" w:rsidTr="009C1E9A">
      <w:trPr>
        <w:cantSplit/>
      </w:trPr>
      <w:tc>
        <w:tcPr>
          <w:tcW w:w="0" w:type="pct"/>
        </w:tcPr>
        <w:p w:rsidR="00EC379B" w:rsidRDefault="009E3E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3E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23065</w:t>
          </w:r>
        </w:p>
      </w:tc>
      <w:tc>
        <w:tcPr>
          <w:tcW w:w="2453" w:type="pct"/>
        </w:tcPr>
        <w:p w:rsidR="00EC379B" w:rsidRDefault="009E3E64" w:rsidP="006D504F">
          <w:pPr>
            <w:pStyle w:val="Footer"/>
            <w:rPr>
              <w:rStyle w:val="PageNumber"/>
            </w:rPr>
          </w:pPr>
        </w:p>
        <w:p w:rsidR="00EC379B" w:rsidRDefault="009E3E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58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3E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E3E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3E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3E64">
      <w:r>
        <w:separator/>
      </w:r>
    </w:p>
  </w:footnote>
  <w:footnote w:type="continuationSeparator" w:id="0">
    <w:p w:rsidR="00000000" w:rsidRDefault="009E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F06"/>
    <w:multiLevelType w:val="hybridMultilevel"/>
    <w:tmpl w:val="ECF05F48"/>
    <w:lvl w:ilvl="0" w:tplc="24A8B0A0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68CCB702" w:tentative="1">
      <w:start w:val="1"/>
      <w:numFmt w:val="lowerLetter"/>
      <w:lvlText w:val="%2."/>
      <w:lvlJc w:val="left"/>
      <w:pPr>
        <w:ind w:left="1440" w:hanging="360"/>
      </w:pPr>
    </w:lvl>
    <w:lvl w:ilvl="2" w:tplc="5B62485C" w:tentative="1">
      <w:start w:val="1"/>
      <w:numFmt w:val="lowerRoman"/>
      <w:lvlText w:val="%3."/>
      <w:lvlJc w:val="right"/>
      <w:pPr>
        <w:ind w:left="2160" w:hanging="180"/>
      </w:pPr>
    </w:lvl>
    <w:lvl w:ilvl="3" w:tplc="6F6851BE" w:tentative="1">
      <w:start w:val="1"/>
      <w:numFmt w:val="decimal"/>
      <w:lvlText w:val="%4."/>
      <w:lvlJc w:val="left"/>
      <w:pPr>
        <w:ind w:left="2880" w:hanging="360"/>
      </w:pPr>
    </w:lvl>
    <w:lvl w:ilvl="4" w:tplc="35E2AFA2" w:tentative="1">
      <w:start w:val="1"/>
      <w:numFmt w:val="lowerLetter"/>
      <w:lvlText w:val="%5."/>
      <w:lvlJc w:val="left"/>
      <w:pPr>
        <w:ind w:left="3600" w:hanging="360"/>
      </w:pPr>
    </w:lvl>
    <w:lvl w:ilvl="5" w:tplc="80E084FC" w:tentative="1">
      <w:start w:val="1"/>
      <w:numFmt w:val="lowerRoman"/>
      <w:lvlText w:val="%6."/>
      <w:lvlJc w:val="right"/>
      <w:pPr>
        <w:ind w:left="4320" w:hanging="180"/>
      </w:pPr>
    </w:lvl>
    <w:lvl w:ilvl="6" w:tplc="35FA4248" w:tentative="1">
      <w:start w:val="1"/>
      <w:numFmt w:val="decimal"/>
      <w:lvlText w:val="%7."/>
      <w:lvlJc w:val="left"/>
      <w:pPr>
        <w:ind w:left="5040" w:hanging="360"/>
      </w:pPr>
    </w:lvl>
    <w:lvl w:ilvl="7" w:tplc="1CD2E6E2" w:tentative="1">
      <w:start w:val="1"/>
      <w:numFmt w:val="lowerLetter"/>
      <w:lvlText w:val="%8."/>
      <w:lvlJc w:val="left"/>
      <w:pPr>
        <w:ind w:left="5760" w:hanging="360"/>
      </w:pPr>
    </w:lvl>
    <w:lvl w:ilvl="8" w:tplc="0448B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5921"/>
    <w:multiLevelType w:val="hybridMultilevel"/>
    <w:tmpl w:val="40BE334C"/>
    <w:lvl w:ilvl="0" w:tplc="BAAE5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9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C7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A2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4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CF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E4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29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80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75D0C"/>
    <w:multiLevelType w:val="hybridMultilevel"/>
    <w:tmpl w:val="DDF47E7E"/>
    <w:lvl w:ilvl="0" w:tplc="471A4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4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C8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81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A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CF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B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C7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6E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A9"/>
    <w:rsid w:val="008058A9"/>
    <w:rsid w:val="009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F168FD-D5CA-4F71-8009-16127EA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0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E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E54"/>
    <w:rPr>
      <w:b/>
      <w:bCs/>
    </w:rPr>
  </w:style>
  <w:style w:type="paragraph" w:styleId="Revision">
    <w:name w:val="Revision"/>
    <w:hidden/>
    <w:uiPriority w:val="99"/>
    <w:semiHidden/>
    <w:rsid w:val="009A4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2776</Characters>
  <Application>Microsoft Office Word</Application>
  <DocSecurity>4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HB03867 (Committee Report (Substituted))</vt:lpstr>
    </vt:vector>
  </TitlesOfParts>
  <Company>State of Texas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26006</dc:subject>
  <dc:creator>State of Texas</dc:creator>
  <dc:description>HB 3867 by Springer-(H)State Affairs (Substitute Document Number: 86R 23065)</dc:description>
  <cp:lastModifiedBy>Stacey Nicchio</cp:lastModifiedBy>
  <cp:revision>2</cp:revision>
  <cp:lastPrinted>2003-11-26T17:21:00Z</cp:lastPrinted>
  <dcterms:created xsi:type="dcterms:W3CDTF">2019-04-12T17:56:00Z</dcterms:created>
  <dcterms:modified xsi:type="dcterms:W3CDTF">2019-04-12T17:56:00Z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19.100.807</vt:lpwstr>
  </property>
</Properties>
</file>