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6E2A" w:rsidTr="00345119">
        <w:tc>
          <w:tcPr>
            <w:tcW w:w="9576" w:type="dxa"/>
            <w:noWrap/>
          </w:tcPr>
          <w:p w:rsidR="008423E4" w:rsidRPr="0022177D" w:rsidRDefault="003C37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37FF" w:rsidP="008423E4">
      <w:pPr>
        <w:jc w:val="center"/>
      </w:pPr>
    </w:p>
    <w:p w:rsidR="008423E4" w:rsidRPr="00B31F0E" w:rsidRDefault="003C37FF" w:rsidP="008423E4"/>
    <w:p w:rsidR="008423E4" w:rsidRPr="00742794" w:rsidRDefault="003C37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6E2A" w:rsidTr="00345119">
        <w:tc>
          <w:tcPr>
            <w:tcW w:w="9576" w:type="dxa"/>
          </w:tcPr>
          <w:p w:rsidR="008423E4" w:rsidRPr="00861995" w:rsidRDefault="003C37FF" w:rsidP="00345119">
            <w:pPr>
              <w:jc w:val="right"/>
            </w:pPr>
            <w:r>
              <w:t>C.S.H.B. 3995</w:t>
            </w:r>
          </w:p>
        </w:tc>
      </w:tr>
      <w:tr w:rsidR="00236E2A" w:rsidTr="00345119">
        <w:tc>
          <w:tcPr>
            <w:tcW w:w="9576" w:type="dxa"/>
          </w:tcPr>
          <w:p w:rsidR="008423E4" w:rsidRPr="00861995" w:rsidRDefault="003C37FF" w:rsidP="0071678D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236E2A" w:rsidTr="00345119">
        <w:tc>
          <w:tcPr>
            <w:tcW w:w="9576" w:type="dxa"/>
          </w:tcPr>
          <w:p w:rsidR="008423E4" w:rsidRPr="00861995" w:rsidRDefault="003C37FF" w:rsidP="00345119">
            <w:pPr>
              <w:jc w:val="right"/>
            </w:pPr>
            <w:r>
              <w:t>State Affairs</w:t>
            </w:r>
          </w:p>
        </w:tc>
      </w:tr>
      <w:tr w:rsidR="00236E2A" w:rsidTr="00345119">
        <w:tc>
          <w:tcPr>
            <w:tcW w:w="9576" w:type="dxa"/>
          </w:tcPr>
          <w:p w:rsidR="008423E4" w:rsidRDefault="003C37F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C37FF" w:rsidP="008423E4">
      <w:pPr>
        <w:tabs>
          <w:tab w:val="right" w:pos="9360"/>
        </w:tabs>
      </w:pPr>
    </w:p>
    <w:p w:rsidR="008423E4" w:rsidRDefault="003C37FF" w:rsidP="008423E4"/>
    <w:p w:rsidR="008423E4" w:rsidRDefault="003C37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6E2A" w:rsidTr="00345119">
        <w:tc>
          <w:tcPr>
            <w:tcW w:w="9576" w:type="dxa"/>
          </w:tcPr>
          <w:p w:rsidR="008423E4" w:rsidRPr="00A8133F" w:rsidRDefault="003C37FF" w:rsidP="0011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37FF" w:rsidP="00115D88"/>
          <w:p w:rsidR="008423E4" w:rsidRDefault="003C37FF" w:rsidP="00115D88">
            <w:pPr>
              <w:pStyle w:val="Header"/>
              <w:jc w:val="both"/>
            </w:pPr>
            <w:r>
              <w:t>The electric grid is a fundamental driving unit of the state economy</w:t>
            </w:r>
            <w:r>
              <w:t>,</w:t>
            </w:r>
            <w:r>
              <w:t xml:space="preserve"> and the ability to have a robust, reliable, and well-regulated electric grid is paramount to the state's future success. It has been asserted that recent dockets before the Public Utility Commission of Texas (PUC) and developments in various non-ERCOT ele</w:t>
            </w:r>
            <w:r>
              <w:t xml:space="preserve">ctric planning organizations have identified needed changes to </w:t>
            </w:r>
            <w:r>
              <w:t xml:space="preserve">the </w:t>
            </w:r>
            <w:r>
              <w:t xml:space="preserve">Public Utility Regulatory Act to preserve PUC jurisdiction and establish in statute the existing processes and procedures for development of transmission facilities. </w:t>
            </w:r>
            <w:r>
              <w:t>C.S.</w:t>
            </w:r>
            <w:r>
              <w:t xml:space="preserve">H.B. 3995 seeks to </w:t>
            </w:r>
            <w:r>
              <w:t xml:space="preserve">enact certain of these changes by codifying in statute the practices and procedures that govern transmission development on a statewide basis and </w:t>
            </w:r>
            <w:r>
              <w:t>to ensure</w:t>
            </w:r>
            <w:r>
              <w:t xml:space="preserve"> continued PUC rate and regulatory jurisdiction</w:t>
            </w:r>
            <w:r>
              <w:t xml:space="preserve"> over </w:t>
            </w:r>
            <w:r>
              <w:t>applicable</w:t>
            </w:r>
            <w:r>
              <w:t xml:space="preserve"> transactions.</w:t>
            </w:r>
          </w:p>
          <w:p w:rsidR="008423E4" w:rsidRPr="00E26B13" w:rsidRDefault="003C37FF" w:rsidP="00115D88">
            <w:pPr>
              <w:rPr>
                <w:b/>
              </w:rPr>
            </w:pPr>
          </w:p>
        </w:tc>
      </w:tr>
      <w:tr w:rsidR="00236E2A" w:rsidTr="00345119">
        <w:tc>
          <w:tcPr>
            <w:tcW w:w="9576" w:type="dxa"/>
          </w:tcPr>
          <w:p w:rsidR="0017725B" w:rsidRDefault="003C37FF" w:rsidP="00115D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3C37FF" w:rsidP="00115D88">
            <w:pPr>
              <w:rPr>
                <w:b/>
                <w:u w:val="single"/>
              </w:rPr>
            </w:pPr>
          </w:p>
          <w:p w:rsidR="00E13B3C" w:rsidRPr="00E13B3C" w:rsidRDefault="003C37FF" w:rsidP="00115D8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3C37FF" w:rsidP="00115D88">
            <w:pPr>
              <w:rPr>
                <w:b/>
                <w:u w:val="single"/>
              </w:rPr>
            </w:pPr>
          </w:p>
        </w:tc>
      </w:tr>
      <w:tr w:rsidR="00236E2A" w:rsidTr="00345119">
        <w:tc>
          <w:tcPr>
            <w:tcW w:w="9576" w:type="dxa"/>
          </w:tcPr>
          <w:p w:rsidR="008423E4" w:rsidRDefault="003C37FF" w:rsidP="0011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36323F" w:rsidRPr="00A8133F" w:rsidRDefault="003C37FF" w:rsidP="00115D88">
            <w:pPr>
              <w:rPr>
                <w:b/>
              </w:rPr>
            </w:pPr>
          </w:p>
          <w:p w:rsidR="00E13B3C" w:rsidRDefault="003C37FF" w:rsidP="0011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Public Utility Commission of Texas in SECTION 4</w:t>
            </w:r>
            <w:r>
              <w:t xml:space="preserve"> </w:t>
            </w:r>
            <w:r>
              <w:t>of this bill.</w:t>
            </w:r>
          </w:p>
          <w:p w:rsidR="008423E4" w:rsidRPr="00E21FDC" w:rsidRDefault="003C37FF" w:rsidP="00115D88">
            <w:pPr>
              <w:rPr>
                <w:b/>
              </w:rPr>
            </w:pPr>
          </w:p>
        </w:tc>
      </w:tr>
      <w:tr w:rsidR="00236E2A" w:rsidTr="00345119">
        <w:tc>
          <w:tcPr>
            <w:tcW w:w="9576" w:type="dxa"/>
          </w:tcPr>
          <w:p w:rsidR="008423E4" w:rsidRPr="00A8133F" w:rsidRDefault="003C37FF" w:rsidP="0011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37FF" w:rsidP="00115D88"/>
          <w:p w:rsidR="00105D8B" w:rsidRDefault="003C37FF" w:rsidP="00115D88">
            <w:pPr>
              <w:jc w:val="both"/>
            </w:pPr>
            <w:r>
              <w:t>C.S.</w:t>
            </w:r>
            <w:r>
              <w:t xml:space="preserve">H.B. 3995 amends the Utilities Code to </w:t>
            </w:r>
            <w:r w:rsidRPr="00D17CEF">
              <w:t>remove the prohibition against a person who is not an electric utility directly or indirectly providing service to the public under a franchise or permit without first obtaining a certificate of convenience and necessity</w:t>
            </w:r>
            <w:r>
              <w:t>. The bill limits the persons to who</w:t>
            </w:r>
            <w:r>
              <w:t>m</w:t>
            </w:r>
            <w:r>
              <w:t xml:space="preserve"> the Public Utility Commission of Texas (PUC)</w:t>
            </w:r>
            <w:r>
              <w:t xml:space="preserve"> </w:t>
            </w:r>
            <w:r>
              <w:t>may</w:t>
            </w:r>
            <w:r>
              <w:t xml:space="preserve"> </w:t>
            </w:r>
            <w:r>
              <w:t xml:space="preserve">grant a certificate </w:t>
            </w:r>
            <w:r>
              <w:t xml:space="preserve">to build, own, or operate </w:t>
            </w:r>
            <w:r>
              <w:t xml:space="preserve">a new electric transmission facility </w:t>
            </w:r>
            <w:r w:rsidRPr="00353786">
              <w:t>that directly interconnects with an existing electric utility facility</w:t>
            </w:r>
            <w:r>
              <w:t xml:space="preserve"> or municipally owned utility facility</w:t>
            </w:r>
            <w:r w:rsidRPr="00353786">
              <w:t xml:space="preserve"> to the owner </w:t>
            </w:r>
            <w:r w:rsidRPr="00353786">
              <w:t>of that existing facility</w:t>
            </w:r>
            <w:r>
              <w:t xml:space="preserve"> and requires, for</w:t>
            </w:r>
            <w:r>
              <w:t xml:space="preserve"> </w:t>
            </w:r>
            <w:r w:rsidRPr="00353786">
              <w:t xml:space="preserve">a new </w:t>
            </w:r>
            <w:r>
              <w:t>t</w:t>
            </w:r>
            <w:r w:rsidRPr="00353786">
              <w:t>ransmission facility</w:t>
            </w:r>
            <w:r>
              <w:t xml:space="preserve"> that</w:t>
            </w:r>
            <w:r w:rsidRPr="00353786">
              <w:t xml:space="preserve"> will directly interconnect with facilities owned by different electric utilities</w:t>
            </w:r>
            <w:r>
              <w:t xml:space="preserve"> or municipally owned utilities</w:t>
            </w:r>
            <w:r>
              <w:t xml:space="preserve">, </w:t>
            </w:r>
            <w:r>
              <w:t>each entity</w:t>
            </w:r>
            <w:r w:rsidRPr="00835F0D">
              <w:t xml:space="preserve"> </w:t>
            </w:r>
            <w:r>
              <w:t>to</w:t>
            </w:r>
            <w:r w:rsidRPr="00835F0D">
              <w:t xml:space="preserve"> be certificated to </w:t>
            </w:r>
            <w:r>
              <w:t>build, own, or operate</w:t>
            </w:r>
            <w:r w:rsidRPr="00835F0D">
              <w:t xml:space="preserve"> </w:t>
            </w:r>
            <w:r w:rsidRPr="00835F0D">
              <w:t>the new f</w:t>
            </w:r>
            <w:r w:rsidRPr="00835F0D">
              <w:t>acility</w:t>
            </w:r>
            <w:r>
              <w:t xml:space="preserve"> in separate and discrete equal parts unless they agree otherwise</w:t>
            </w:r>
            <w:r>
              <w:t>.</w:t>
            </w:r>
            <w:r>
              <w:t xml:space="preserve"> </w:t>
            </w:r>
          </w:p>
          <w:p w:rsidR="00105D8B" w:rsidRDefault="003C37FF" w:rsidP="00115D88">
            <w:pPr>
              <w:jc w:val="both"/>
            </w:pPr>
          </w:p>
          <w:p w:rsidR="00730664" w:rsidRDefault="003C37FF" w:rsidP="00115D88">
            <w:pPr>
              <w:jc w:val="both"/>
            </w:pPr>
            <w:r>
              <w:t>C.S.H.B. 3995 e</w:t>
            </w:r>
            <w:r>
              <w:t>stablishes that if</w:t>
            </w:r>
            <w:r w:rsidRPr="00105D8B">
              <w:t xml:space="preserve"> a new transmission line, whether single or double circuit, will create the first interconnection between a load-serving station and an existing tr</w:t>
            </w:r>
            <w:r w:rsidRPr="00105D8B">
              <w:t xml:space="preserve">ansmission facility the entity with a load-serving responsibility or an electric cooperative that has a member with a load-serving responsibility at the load-serving station </w:t>
            </w:r>
            <w:r>
              <w:t>shall</w:t>
            </w:r>
            <w:r w:rsidRPr="00105D8B">
              <w:t xml:space="preserve"> be certificated to build, own, or operate the new transmission line and the </w:t>
            </w:r>
            <w:r w:rsidRPr="00105D8B">
              <w:t xml:space="preserve">load-serving station. </w:t>
            </w:r>
            <w:r>
              <w:t xml:space="preserve">The bill </w:t>
            </w:r>
            <w:r>
              <w:t xml:space="preserve">establishes </w:t>
            </w:r>
            <w:r>
              <w:t>that</w:t>
            </w:r>
            <w:r>
              <w:t xml:space="preserve"> t</w:t>
            </w:r>
            <w:r w:rsidRPr="00105D8B">
              <w:t xml:space="preserve">he owner of the existing transmission facility </w:t>
            </w:r>
            <w:r>
              <w:t>shall</w:t>
            </w:r>
            <w:r w:rsidRPr="00105D8B">
              <w:t xml:space="preserve"> be certificated to build, own, or operate the station or tap at the existing transmission facility to provide the interconnection, unless after a reasonab</w:t>
            </w:r>
            <w:r w:rsidRPr="00105D8B">
              <w:t>le period of time the owner of the existing transmission facility is unwilling to build, and then the entity with the load-serving responsibility or an electric cooperative that has a member with a load-serving responsibility may be certificated to build t</w:t>
            </w:r>
            <w:r w:rsidRPr="00105D8B">
              <w:t>he interconnection facility.</w:t>
            </w:r>
            <w:r>
              <w:t xml:space="preserve"> </w:t>
            </w:r>
          </w:p>
          <w:p w:rsidR="00730664" w:rsidRDefault="003C37FF" w:rsidP="00115D88">
            <w:pPr>
              <w:jc w:val="both"/>
            </w:pPr>
          </w:p>
          <w:p w:rsidR="00105D8B" w:rsidRDefault="003C37FF" w:rsidP="00115D88">
            <w:pPr>
              <w:jc w:val="both"/>
            </w:pPr>
            <w:r>
              <w:t xml:space="preserve">C.S.H.B. 3995 authorizes </w:t>
            </w:r>
            <w:r w:rsidRPr="00105D8B">
              <w:t xml:space="preserve">an electric utility or municipally owned utility that is authorized to build, own, or operate a new transmission facility </w:t>
            </w:r>
            <w:r>
              <w:t>under applicable bill provisions</w:t>
            </w:r>
            <w:r w:rsidRPr="00105D8B">
              <w:t xml:space="preserve"> </w:t>
            </w:r>
            <w:r>
              <w:t>to</w:t>
            </w:r>
            <w:r w:rsidRPr="00105D8B">
              <w:t xml:space="preserve"> designate another </w:t>
            </w:r>
            <w:r w:rsidRPr="00105D8B">
              <w:t xml:space="preserve">municipally owned utility </w:t>
            </w:r>
            <w:r>
              <w:t xml:space="preserve">or another </w:t>
            </w:r>
            <w:r w:rsidRPr="00105D8B">
              <w:t xml:space="preserve">electric utility that is currently certificated by </w:t>
            </w:r>
            <w:r>
              <w:t xml:space="preserve">the </w:t>
            </w:r>
            <w:r>
              <w:t>PUC</w:t>
            </w:r>
            <w:r w:rsidRPr="00105D8B">
              <w:t xml:space="preserve"> within the same electric power region, coordinating council, independent system operator, or power pool to build, own, or operate a portion or all of such new t</w:t>
            </w:r>
            <w:r w:rsidRPr="00105D8B">
              <w:t xml:space="preserve">ransmission facility, subject to any requirements adopted by </w:t>
            </w:r>
            <w:r>
              <w:t xml:space="preserve">the </w:t>
            </w:r>
            <w:r>
              <w:t>PUC</w:t>
            </w:r>
            <w:r w:rsidRPr="00105D8B">
              <w:t xml:space="preserve"> by rule.</w:t>
            </w:r>
            <w:r>
              <w:t xml:space="preserve"> The </w:t>
            </w:r>
            <w:r>
              <w:t xml:space="preserve">bill establishes that the </w:t>
            </w:r>
            <w:r w:rsidRPr="00105D8B">
              <w:t xml:space="preserve">division of any required certification of facilities </w:t>
            </w:r>
            <w:r>
              <w:t xml:space="preserve">described by provisions governing the grant or denial of a certificate </w:t>
            </w:r>
            <w:r w:rsidRPr="00105D8B">
              <w:t>appl</w:t>
            </w:r>
            <w:r>
              <w:t>ies</w:t>
            </w:r>
            <w:r w:rsidRPr="00105D8B">
              <w:t xml:space="preserve"> unless each enti</w:t>
            </w:r>
            <w:r w:rsidRPr="00105D8B">
              <w:t>ty agrees otherwise</w:t>
            </w:r>
            <w:r>
              <w:t xml:space="preserve"> and</w:t>
            </w:r>
            <w:r>
              <w:t xml:space="preserve"> that nothing in th</w:t>
            </w:r>
            <w:r>
              <w:t>os</w:t>
            </w:r>
            <w:r>
              <w:t xml:space="preserve">e provisions </w:t>
            </w:r>
            <w:r w:rsidRPr="00105D8B">
              <w:t>is intended to require a cert</w:t>
            </w:r>
            <w:r>
              <w:t xml:space="preserve">ificate for facilities that the PUC </w:t>
            </w:r>
            <w:r w:rsidRPr="00105D8B">
              <w:t>has determined by rule do not require certification to build, own, or operate.</w:t>
            </w:r>
            <w:r>
              <w:t xml:space="preserve"> The bill authorizes </w:t>
            </w:r>
            <w:r w:rsidRPr="000722CF">
              <w:t xml:space="preserve">an electric cooperative </w:t>
            </w:r>
            <w:r>
              <w:t>to</w:t>
            </w:r>
            <w:r w:rsidRPr="000722CF">
              <w:t xml:space="preserve"> be certi</w:t>
            </w:r>
            <w:r w:rsidRPr="000722CF">
              <w:t xml:space="preserve">ficated to build, own, or operate a new facility in place of any other electric cooperative if both cooperatives agree, subject to </w:t>
            </w:r>
            <w:r>
              <w:t xml:space="preserve">any requirements adopted by </w:t>
            </w:r>
            <w:r>
              <w:t xml:space="preserve">the </w:t>
            </w:r>
            <w:r>
              <w:t xml:space="preserve">PUC </w:t>
            </w:r>
            <w:r w:rsidRPr="000722CF">
              <w:t>by rule.</w:t>
            </w:r>
          </w:p>
          <w:p w:rsidR="00105D8B" w:rsidRDefault="003C37FF" w:rsidP="00115D88">
            <w:pPr>
              <w:jc w:val="both"/>
            </w:pPr>
          </w:p>
          <w:p w:rsidR="00865B20" w:rsidRPr="009561F0" w:rsidRDefault="003C37FF" w:rsidP="00115D88">
            <w:pPr>
              <w:jc w:val="both"/>
            </w:pPr>
            <w:r>
              <w:t>C.S.H.B. 3995 repeals provision</w:t>
            </w:r>
            <w:r>
              <w:t>s</w:t>
            </w:r>
            <w:r>
              <w:t xml:space="preserve"> </w:t>
            </w:r>
            <w:r>
              <w:t>authorizing</w:t>
            </w:r>
            <w:r>
              <w:t xml:space="preserve"> a certificate </w:t>
            </w:r>
            <w:r>
              <w:t>to</w:t>
            </w:r>
            <w:r>
              <w:t xml:space="preserve"> be granted</w:t>
            </w:r>
            <w:r w:rsidRPr="009561F0">
              <w:t xml:space="preserve"> for a </w:t>
            </w:r>
            <w:r w:rsidRPr="009561F0">
              <w:t>facility used as part of the transmission system serving the ERCOT power region solely for the transmission of electricity</w:t>
            </w:r>
            <w:r>
              <w:t xml:space="preserve"> and </w:t>
            </w:r>
            <w:r>
              <w:t>setting out required findings for the PUC before granting a certificate to a person not currently certificated as an electric uti</w:t>
            </w:r>
            <w:r>
              <w:t>lity to construct transmission capacity that serves the region</w:t>
            </w:r>
            <w:r w:rsidRPr="009561F0">
              <w:t>.</w:t>
            </w:r>
          </w:p>
          <w:p w:rsidR="00FD798A" w:rsidRDefault="003C37FF" w:rsidP="00115D88">
            <w:pPr>
              <w:jc w:val="both"/>
            </w:pPr>
          </w:p>
          <w:p w:rsidR="00343380" w:rsidRDefault="003C37FF" w:rsidP="00115D88">
            <w:pPr>
              <w:pStyle w:val="Header"/>
              <w:jc w:val="both"/>
            </w:pPr>
            <w:r>
              <w:t>C.S.</w:t>
            </w:r>
            <w:r w:rsidRPr="00FD798A">
              <w:t xml:space="preserve">H.B. 3995 </w:t>
            </w:r>
            <w:r>
              <w:t xml:space="preserve">removes </w:t>
            </w:r>
            <w:r>
              <w:t xml:space="preserve">the </w:t>
            </w:r>
            <w:r>
              <w:t>authorization</w:t>
            </w:r>
            <w:r>
              <w:t xml:space="preserve"> </w:t>
            </w:r>
            <w:r>
              <w:t xml:space="preserve">for </w:t>
            </w:r>
            <w:r>
              <w:t>an electric utility</w:t>
            </w:r>
            <w:r>
              <w:t xml:space="preserve"> to </w:t>
            </w:r>
            <w:r w:rsidRPr="0084786A">
              <w:t>sell, assign, or lease a certificate or a right</w:t>
            </w:r>
            <w:r>
              <w:t xml:space="preserve"> obtained under a certificate</w:t>
            </w:r>
            <w:r>
              <w:t xml:space="preserve"> </w:t>
            </w:r>
            <w:r>
              <w:t xml:space="preserve">if </w:t>
            </w:r>
            <w:r>
              <w:t xml:space="preserve">the PUC </w:t>
            </w:r>
            <w:r>
              <w:t>determines that</w:t>
            </w:r>
            <w:r w:rsidRPr="009B534E">
              <w:t xml:space="preserve"> the purchaser, assignee, or lessee</w:t>
            </w:r>
            <w:r>
              <w:t xml:space="preserve"> can provide adequate service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 xml:space="preserve">bill authorizes </w:t>
            </w:r>
            <w:r>
              <w:t xml:space="preserve">such </w:t>
            </w:r>
            <w:r>
              <w:t>a utility</w:t>
            </w:r>
            <w:r>
              <w:t xml:space="preserve"> or a municipally owned utility</w:t>
            </w:r>
            <w:r>
              <w:t xml:space="preserve"> </w:t>
            </w:r>
            <w:r>
              <w:t xml:space="preserve">instead </w:t>
            </w:r>
            <w:r>
              <w:t>to make such a sale, assignment, or lease if</w:t>
            </w:r>
            <w:r>
              <w:t xml:space="preserve"> </w:t>
            </w:r>
            <w:r w:rsidRPr="009B534E">
              <w:t xml:space="preserve">the purchaser, assignee, or lessee </w:t>
            </w:r>
            <w:r>
              <w:t>is:</w:t>
            </w:r>
            <w:r w:rsidRPr="009B534E">
              <w:t xml:space="preserve"> </w:t>
            </w:r>
          </w:p>
          <w:p w:rsidR="00343380" w:rsidRDefault="003C37FF" w:rsidP="00115D8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already</w:t>
            </w:r>
            <w:r w:rsidRPr="009B534E">
              <w:t xml:space="preserve"> </w:t>
            </w:r>
            <w:r w:rsidRPr="009B534E">
              <w:t xml:space="preserve">certificated by the </w:t>
            </w:r>
            <w:r>
              <w:t>PUC</w:t>
            </w:r>
            <w:r w:rsidRPr="009B534E">
              <w:t xml:space="preserve"> to provide electric service within the same electric power region, coordinating council, independent system operator, or power pool</w:t>
            </w:r>
            <w:r>
              <w:t xml:space="preserve">; or </w:t>
            </w:r>
          </w:p>
          <w:p w:rsidR="00343380" w:rsidRDefault="003C37FF" w:rsidP="00115D8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electric cooperative or municipally owned utility</w:t>
            </w:r>
            <w:r w:rsidRPr="009B534E">
              <w:t xml:space="preserve">. </w:t>
            </w:r>
          </w:p>
          <w:p w:rsidR="009B534E" w:rsidRDefault="003C37FF" w:rsidP="00115D88">
            <w:pPr>
              <w:pStyle w:val="Header"/>
              <w:jc w:val="both"/>
            </w:pPr>
            <w:r>
              <w:t>The bill authorizes the PUC</w:t>
            </w:r>
            <w:r w:rsidRPr="009B534E">
              <w:t xml:space="preserve"> </w:t>
            </w:r>
            <w:r>
              <w:t xml:space="preserve">to </w:t>
            </w:r>
            <w:r w:rsidRPr="009B534E">
              <w:t>approve a sale, assignment, or l</w:t>
            </w:r>
            <w:r w:rsidRPr="009B534E">
              <w:t>ease to an entity that has not been previously certificated</w:t>
            </w:r>
            <w:r>
              <w:t xml:space="preserve"> as part of certain transactions subject to PUC approval</w:t>
            </w:r>
            <w:r w:rsidRPr="009B534E">
              <w:t xml:space="preserve"> if the approval will not diminish the</w:t>
            </w:r>
            <w:r>
              <w:t xml:space="preserve"> state's</w:t>
            </w:r>
            <w:r w:rsidRPr="009B534E">
              <w:t xml:space="preserve"> retail rate jurisdiction</w:t>
            </w:r>
            <w:r>
              <w:t>.</w:t>
            </w:r>
            <w:r>
              <w:t xml:space="preserve"> The bill establishes that any purchase, assignment, or lease under t</w:t>
            </w:r>
            <w:r>
              <w:t xml:space="preserve">hese provisions requires that </w:t>
            </w:r>
            <w:r>
              <w:t xml:space="preserve">the </w:t>
            </w:r>
            <w:r>
              <w:t xml:space="preserve">PUC determine that the purchaser, assignee, or lessee can provide adequate service. </w:t>
            </w:r>
          </w:p>
          <w:p w:rsidR="001875F6" w:rsidRDefault="003C37FF" w:rsidP="00115D88">
            <w:pPr>
              <w:pStyle w:val="Header"/>
              <w:jc w:val="both"/>
            </w:pPr>
          </w:p>
          <w:p w:rsidR="001875F6" w:rsidRDefault="003C37FF" w:rsidP="00115D88">
            <w:pPr>
              <w:pStyle w:val="Header"/>
              <w:jc w:val="both"/>
            </w:pPr>
            <w:r>
              <w:t xml:space="preserve">C.S.H.B. 3995 repeals </w:t>
            </w:r>
            <w:r w:rsidRPr="001875F6">
              <w:t>Sections 37.051(d), (e), and (f), Utilities Code</w:t>
            </w:r>
            <w:r>
              <w:t>.</w:t>
            </w:r>
          </w:p>
          <w:p w:rsidR="008423E4" w:rsidRPr="00835628" w:rsidRDefault="003C37FF" w:rsidP="00115D88">
            <w:pPr>
              <w:rPr>
                <w:b/>
              </w:rPr>
            </w:pPr>
          </w:p>
        </w:tc>
      </w:tr>
      <w:tr w:rsidR="00236E2A" w:rsidTr="00345119">
        <w:tc>
          <w:tcPr>
            <w:tcW w:w="9576" w:type="dxa"/>
          </w:tcPr>
          <w:p w:rsidR="008423E4" w:rsidRPr="00A8133F" w:rsidRDefault="003C37FF" w:rsidP="0011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37FF" w:rsidP="00115D88"/>
          <w:p w:rsidR="008423E4" w:rsidRPr="003624F2" w:rsidRDefault="003C37FF" w:rsidP="0011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2019.</w:t>
            </w:r>
          </w:p>
          <w:p w:rsidR="008423E4" w:rsidRPr="00233FDB" w:rsidRDefault="003C37FF" w:rsidP="00115D88">
            <w:pPr>
              <w:rPr>
                <w:b/>
              </w:rPr>
            </w:pPr>
          </w:p>
        </w:tc>
      </w:tr>
      <w:tr w:rsidR="00236E2A" w:rsidTr="00345119">
        <w:tc>
          <w:tcPr>
            <w:tcW w:w="9576" w:type="dxa"/>
          </w:tcPr>
          <w:p w:rsidR="0071678D" w:rsidRDefault="003C37FF" w:rsidP="00115D8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F4CA7" w:rsidRDefault="003C37FF" w:rsidP="00115D88">
            <w:pPr>
              <w:jc w:val="both"/>
            </w:pPr>
          </w:p>
          <w:p w:rsidR="003F4CA7" w:rsidRDefault="003C37FF">
            <w:pPr>
              <w:jc w:val="both"/>
            </w:pPr>
            <w:r>
              <w:t xml:space="preserve">While C.S.H.B. 3995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3F4CA7" w:rsidRPr="00F82418" w:rsidRDefault="003C37FF">
            <w:pPr>
              <w:jc w:val="both"/>
            </w:pPr>
          </w:p>
          <w:p w:rsidR="00907A23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>The substitute revises the provision limiting the persons to whom</w:t>
            </w:r>
            <w:r>
              <w:rPr>
                <w:rFonts w:eastAsia="Calibri"/>
              </w:rPr>
              <w:t xml:space="preserve"> the</w:t>
            </w:r>
            <w:r w:rsidRPr="00F82418">
              <w:rPr>
                <w:rFonts w:eastAsia="Calibri"/>
              </w:rPr>
              <w:t xml:space="preserve"> PUC may grant a certificate for </w:t>
            </w:r>
            <w:r>
              <w:rPr>
                <w:rFonts w:eastAsia="Calibri"/>
              </w:rPr>
              <w:t>a</w:t>
            </w:r>
            <w:r w:rsidRPr="00F82418">
              <w:rPr>
                <w:rFonts w:eastAsia="Calibri"/>
              </w:rPr>
              <w:t xml:space="preserve"> new electric transmission facility </w:t>
            </w:r>
            <w:r>
              <w:rPr>
                <w:rFonts w:eastAsia="Calibri"/>
              </w:rPr>
              <w:t xml:space="preserve">that directly interconnects with an existing electric utility facility </w:t>
            </w:r>
            <w:r w:rsidRPr="00F82418">
              <w:rPr>
                <w:rFonts w:eastAsia="Calibri"/>
              </w:rPr>
              <w:t>by</w:t>
            </w:r>
            <w:r>
              <w:rPr>
                <w:rFonts w:eastAsia="Calibri"/>
              </w:rPr>
              <w:t>:</w:t>
            </w:r>
            <w:r w:rsidRPr="00F82418">
              <w:rPr>
                <w:rFonts w:eastAsia="Calibri"/>
              </w:rPr>
              <w:t xml:space="preserve"> </w:t>
            </w:r>
          </w:p>
          <w:p w:rsidR="00907A23" w:rsidRPr="00907A23" w:rsidRDefault="003C37F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eastAsia="Calibri"/>
              </w:rPr>
            </w:pPr>
            <w:r w:rsidRPr="00907A23">
              <w:rPr>
                <w:rFonts w:eastAsia="Calibri"/>
              </w:rPr>
              <w:t>applyin</w:t>
            </w:r>
            <w:r w:rsidRPr="00907A23">
              <w:rPr>
                <w:rFonts w:eastAsia="Calibri"/>
              </w:rPr>
              <w:t>g that limitation to</w:t>
            </w:r>
            <w:r w:rsidRPr="00907A23">
              <w:rPr>
                <w:rFonts w:eastAsia="Calibri"/>
              </w:rPr>
              <w:t xml:space="preserve"> </w:t>
            </w:r>
            <w:r w:rsidRPr="00907A23">
              <w:rPr>
                <w:rFonts w:eastAsia="Calibri"/>
              </w:rPr>
              <w:t xml:space="preserve">a </w:t>
            </w:r>
            <w:r w:rsidRPr="00907A23">
              <w:rPr>
                <w:rFonts w:eastAsia="Calibri"/>
              </w:rPr>
              <w:t xml:space="preserve">certificate </w:t>
            </w:r>
            <w:r w:rsidRPr="00907A23">
              <w:rPr>
                <w:rFonts w:eastAsia="Calibri"/>
              </w:rPr>
              <w:t>to</w:t>
            </w:r>
            <w:r w:rsidRPr="00907A23">
              <w:rPr>
                <w:rFonts w:eastAsia="Calibri"/>
              </w:rPr>
              <w:t xml:space="preserve"> build</w:t>
            </w:r>
            <w:r w:rsidRPr="00DB5EA4">
              <w:rPr>
                <w:rFonts w:eastAsia="Calibri"/>
              </w:rPr>
              <w:t>, own, or operat</w:t>
            </w:r>
            <w:r w:rsidRPr="00DB5EA4">
              <w:rPr>
                <w:rFonts w:eastAsia="Calibri"/>
              </w:rPr>
              <w:t>e</w:t>
            </w:r>
            <w:r w:rsidRPr="00DB5EA4">
              <w:rPr>
                <w:rFonts w:eastAsia="Calibri"/>
              </w:rPr>
              <w:t xml:space="preserve"> </w:t>
            </w:r>
            <w:r w:rsidRPr="00907A23">
              <w:rPr>
                <w:rFonts w:eastAsia="Calibri"/>
              </w:rPr>
              <w:t xml:space="preserve">the </w:t>
            </w:r>
            <w:r w:rsidRPr="00907A23">
              <w:rPr>
                <w:rFonts w:eastAsia="Calibri"/>
              </w:rPr>
              <w:t>new facility</w:t>
            </w:r>
            <w:r w:rsidRPr="00907A23">
              <w:rPr>
                <w:rFonts w:eastAsia="Calibri"/>
              </w:rPr>
              <w:t>;</w:t>
            </w:r>
            <w:r w:rsidRPr="00907A23">
              <w:rPr>
                <w:rFonts w:eastAsia="Calibri"/>
              </w:rPr>
              <w:t xml:space="preserve"> and </w:t>
            </w:r>
          </w:p>
          <w:p w:rsidR="00F82418" w:rsidRPr="00907A23" w:rsidRDefault="003C37F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eastAsia="Calibri"/>
              </w:rPr>
            </w:pPr>
            <w:r w:rsidRPr="00907A23">
              <w:rPr>
                <w:rFonts w:eastAsia="Calibri"/>
              </w:rPr>
              <w:t xml:space="preserve">making </w:t>
            </w:r>
            <w:r w:rsidRPr="00907A23">
              <w:rPr>
                <w:rFonts w:eastAsia="Calibri"/>
              </w:rPr>
              <w:t>that limitation</w:t>
            </w:r>
            <w:r w:rsidRPr="00907A23">
              <w:rPr>
                <w:rFonts w:eastAsia="Calibri"/>
              </w:rPr>
              <w:t xml:space="preserve"> applicable </w:t>
            </w:r>
            <w:r w:rsidRPr="00907A23">
              <w:rPr>
                <w:rFonts w:eastAsia="Calibri"/>
              </w:rPr>
              <w:t xml:space="preserve">to </w:t>
            </w:r>
            <w:r w:rsidRPr="00907A23">
              <w:rPr>
                <w:rFonts w:eastAsia="Calibri"/>
              </w:rPr>
              <w:t xml:space="preserve">a new electric transmission facility that interconnects with an existing municipally owned utility facility. 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F82418" w:rsidRPr="00622874" w:rsidRDefault="003C37FF" w:rsidP="00C47C48">
            <w:pPr>
              <w:jc w:val="both"/>
              <w:rPr>
                <w:rFonts w:eastAsia="Calibri"/>
              </w:rPr>
            </w:pPr>
            <w:r w:rsidRPr="00622874">
              <w:rPr>
                <w:rFonts w:eastAsia="Calibri"/>
              </w:rPr>
              <w:t>The substitute revises t</w:t>
            </w:r>
            <w:r w:rsidRPr="00622874">
              <w:rPr>
                <w:rFonts w:eastAsia="Calibri"/>
              </w:rPr>
              <w:t xml:space="preserve">he </w:t>
            </w:r>
            <w:r w:rsidRPr="00622874">
              <w:rPr>
                <w:rFonts w:eastAsia="Calibri"/>
              </w:rPr>
              <w:t xml:space="preserve">provision </w:t>
            </w:r>
            <w:r>
              <w:rPr>
                <w:rFonts w:eastAsia="Calibri"/>
              </w:rPr>
              <w:t>relat</w:t>
            </w:r>
            <w:r w:rsidRPr="00622874">
              <w:rPr>
                <w:rFonts w:eastAsia="Calibri"/>
              </w:rPr>
              <w:t xml:space="preserve">ing </w:t>
            </w:r>
            <w:r>
              <w:rPr>
                <w:rFonts w:eastAsia="Calibri"/>
              </w:rPr>
              <w:t xml:space="preserve">to </w:t>
            </w:r>
            <w:r w:rsidRPr="00622874">
              <w:rPr>
                <w:rFonts w:eastAsia="Calibri"/>
              </w:rPr>
              <w:t>who will be certifi</w:t>
            </w:r>
            <w:r w:rsidRPr="00622874">
              <w:rPr>
                <w:rFonts w:eastAsia="Calibri"/>
              </w:rPr>
              <w:t>cat</w:t>
            </w:r>
            <w:r w:rsidRPr="00622874">
              <w:rPr>
                <w:rFonts w:eastAsia="Calibri"/>
              </w:rPr>
              <w:t xml:space="preserve">ed </w:t>
            </w:r>
            <w:r w:rsidRPr="00622874">
              <w:rPr>
                <w:rFonts w:eastAsia="Calibri"/>
              </w:rPr>
              <w:t xml:space="preserve">for </w:t>
            </w:r>
            <w:r w:rsidRPr="00622874">
              <w:rPr>
                <w:rFonts w:eastAsia="Calibri"/>
              </w:rPr>
              <w:t>a new transmission</w:t>
            </w:r>
            <w:r w:rsidRPr="00622874">
              <w:rPr>
                <w:rFonts w:eastAsia="Calibri"/>
              </w:rPr>
              <w:t xml:space="preserve"> facility </w:t>
            </w:r>
            <w:r w:rsidRPr="00622874">
              <w:rPr>
                <w:rFonts w:eastAsia="Calibri"/>
              </w:rPr>
              <w:t>that will directly interconnect with facilities owned by different electric utilities.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 xml:space="preserve">The substitute includes a provision </w:t>
            </w:r>
            <w:r>
              <w:rPr>
                <w:rFonts w:eastAsia="Calibri"/>
              </w:rPr>
              <w:t xml:space="preserve">relating to the </w:t>
            </w:r>
            <w:r>
              <w:rPr>
                <w:rFonts w:eastAsia="Calibri"/>
              </w:rPr>
              <w:t xml:space="preserve">entity with load-serving </w:t>
            </w:r>
            <w:r>
              <w:rPr>
                <w:rFonts w:eastAsia="Calibri"/>
              </w:rPr>
              <w:t>responsibility or an electric cooperative being certificated</w:t>
            </w:r>
            <w:r>
              <w:rPr>
                <w:rFonts w:eastAsia="Calibri"/>
              </w:rPr>
              <w:t xml:space="preserve"> with respect to </w:t>
            </w:r>
            <w:r w:rsidRPr="00F82418">
              <w:rPr>
                <w:rFonts w:eastAsia="Calibri"/>
              </w:rPr>
              <w:t xml:space="preserve">a new transmission line </w:t>
            </w:r>
            <w:r>
              <w:rPr>
                <w:rFonts w:eastAsia="Calibri"/>
              </w:rPr>
              <w:t xml:space="preserve">that </w:t>
            </w:r>
            <w:r w:rsidRPr="00F82418">
              <w:rPr>
                <w:rFonts w:eastAsia="Calibri"/>
              </w:rPr>
              <w:t>will create the first interconnection between a load-serving station and an existing transmission facility</w:t>
            </w:r>
            <w:r>
              <w:rPr>
                <w:rFonts w:eastAsia="Calibri"/>
              </w:rPr>
              <w:t>.</w:t>
            </w:r>
            <w:r w:rsidRPr="00F82418">
              <w:rPr>
                <w:rFonts w:eastAsia="Calibri"/>
              </w:rPr>
              <w:t xml:space="preserve"> 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>The substitute includes a provision auth</w:t>
            </w:r>
            <w:r w:rsidRPr="00F82418">
              <w:rPr>
                <w:rFonts w:eastAsia="Calibri"/>
              </w:rPr>
              <w:t>orizing a</w:t>
            </w:r>
            <w:r>
              <w:rPr>
                <w:rFonts w:eastAsia="Calibri"/>
              </w:rPr>
              <w:t>n applicable</w:t>
            </w:r>
            <w:r w:rsidRPr="00F82418">
              <w:rPr>
                <w:rFonts w:eastAsia="Calibri"/>
              </w:rPr>
              <w:t xml:space="preserve"> utility to designate another </w:t>
            </w:r>
            <w:r>
              <w:rPr>
                <w:rFonts w:eastAsia="Calibri"/>
              </w:rPr>
              <w:t>certifi</w:t>
            </w:r>
            <w:r>
              <w:rPr>
                <w:rFonts w:eastAsia="Calibri"/>
              </w:rPr>
              <w:t>cat</w:t>
            </w:r>
            <w:r>
              <w:rPr>
                <w:rFonts w:eastAsia="Calibri"/>
              </w:rPr>
              <w:t>ed</w:t>
            </w:r>
            <w:r w:rsidRPr="00F82418">
              <w:rPr>
                <w:rFonts w:eastAsia="Calibri"/>
              </w:rPr>
              <w:t xml:space="preserve"> utility to build, own, or operate a portion or all of </w:t>
            </w:r>
            <w:r>
              <w:rPr>
                <w:rFonts w:eastAsia="Calibri"/>
              </w:rPr>
              <w:t>the</w:t>
            </w:r>
            <w:r w:rsidRPr="00F82418">
              <w:rPr>
                <w:rFonts w:eastAsia="Calibri"/>
              </w:rPr>
              <w:t xml:space="preserve"> </w:t>
            </w:r>
            <w:r w:rsidRPr="00F82418">
              <w:rPr>
                <w:rFonts w:eastAsia="Calibri"/>
              </w:rPr>
              <w:t xml:space="preserve">facility. The substitute includes a </w:t>
            </w:r>
            <w:r>
              <w:rPr>
                <w:rFonts w:eastAsia="Calibri"/>
              </w:rPr>
              <w:t>provision relating to</w:t>
            </w:r>
            <w:r w:rsidRPr="00F82418">
              <w:rPr>
                <w:rFonts w:eastAsia="Calibri"/>
              </w:rPr>
              <w:t xml:space="preserve"> the division of any required certification of facilities.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F82418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>The substitute in</w:t>
            </w:r>
            <w:r w:rsidRPr="00F82418">
              <w:rPr>
                <w:rFonts w:eastAsia="Calibri"/>
              </w:rPr>
              <w:t xml:space="preserve">cludes a provision establishing </w:t>
            </w:r>
            <w:r>
              <w:rPr>
                <w:rFonts w:eastAsia="Calibri"/>
              </w:rPr>
              <w:t>certain of its provisions</w:t>
            </w:r>
            <w:r w:rsidRPr="00F824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are not</w:t>
            </w:r>
            <w:r w:rsidRPr="00F82418">
              <w:rPr>
                <w:rFonts w:eastAsia="Calibri"/>
              </w:rPr>
              <w:t xml:space="preserve"> intended to require a certificate for facilities that PUC has determined </w:t>
            </w:r>
            <w:r>
              <w:rPr>
                <w:rFonts w:eastAsia="Calibri"/>
              </w:rPr>
              <w:t>do not require</w:t>
            </w:r>
            <w:r w:rsidRPr="00F82418">
              <w:rPr>
                <w:rFonts w:eastAsia="Calibri"/>
              </w:rPr>
              <w:t xml:space="preserve"> certification</w:t>
            </w:r>
            <w:r>
              <w:rPr>
                <w:rFonts w:eastAsia="Calibri"/>
              </w:rPr>
              <w:t xml:space="preserve"> to build, own, or operate.</w:t>
            </w:r>
          </w:p>
          <w:p w:rsidR="00DE268F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 xml:space="preserve">The </w:t>
            </w:r>
            <w:r>
              <w:rPr>
                <w:rFonts w:eastAsia="Calibri"/>
              </w:rPr>
              <w:t>substitute includes a provision</w:t>
            </w:r>
            <w:r w:rsidRPr="00F82418">
              <w:rPr>
                <w:rFonts w:eastAsia="Calibri"/>
              </w:rPr>
              <w:t xml:space="preserve"> authorizing an electric </w:t>
            </w:r>
            <w:r w:rsidRPr="00F82418">
              <w:rPr>
                <w:rFonts w:eastAsia="Calibri"/>
              </w:rPr>
              <w:t>cooperative to be certificated for a new facility in place of any other electric cooperative if both cooperatives agree</w:t>
            </w:r>
            <w:r>
              <w:rPr>
                <w:rFonts w:eastAsia="Calibri"/>
              </w:rPr>
              <w:t>, subject to certain requirements</w:t>
            </w:r>
            <w:r w:rsidRPr="00F82418">
              <w:rPr>
                <w:rFonts w:eastAsia="Calibri"/>
              </w:rPr>
              <w:t xml:space="preserve">. 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DB5EA4" w:rsidRDefault="003C37FF" w:rsidP="00C47C48">
            <w:pPr>
              <w:jc w:val="both"/>
              <w:rPr>
                <w:rFonts w:eastAsia="Calibri"/>
              </w:rPr>
            </w:pPr>
            <w:r w:rsidRPr="00F82418">
              <w:rPr>
                <w:rFonts w:eastAsia="Calibri"/>
              </w:rPr>
              <w:t>The substitute revises the provision authorizing an electric utility to sell, assign, or lease a cer</w:t>
            </w:r>
            <w:r w:rsidRPr="00F82418">
              <w:rPr>
                <w:rFonts w:eastAsia="Calibri"/>
              </w:rPr>
              <w:t xml:space="preserve">tificate or a right obtained under a certificate if the purchaser, assignee, or lessee is certificated by </w:t>
            </w:r>
            <w:r>
              <w:rPr>
                <w:rFonts w:eastAsia="Calibri"/>
              </w:rPr>
              <w:t xml:space="preserve">the </w:t>
            </w:r>
            <w:r w:rsidRPr="00F82418">
              <w:rPr>
                <w:rFonts w:eastAsia="Calibri"/>
              </w:rPr>
              <w:t>PUC to provide electric service within certain specified regions by</w:t>
            </w:r>
            <w:r>
              <w:rPr>
                <w:rFonts w:eastAsia="Calibri"/>
              </w:rPr>
              <w:t>:</w:t>
            </w:r>
            <w:r w:rsidRPr="00F82418">
              <w:rPr>
                <w:rFonts w:eastAsia="Calibri"/>
              </w:rPr>
              <w:t xml:space="preserve"> </w:t>
            </w:r>
          </w:p>
          <w:p w:rsidR="00DB5EA4" w:rsidRPr="00DB5EA4" w:rsidRDefault="003C37F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eastAsia="Calibri"/>
              </w:rPr>
            </w:pPr>
            <w:r w:rsidRPr="00DB5EA4">
              <w:rPr>
                <w:rFonts w:eastAsia="Calibri"/>
              </w:rPr>
              <w:t>making that authorization applicable with respect to</w:t>
            </w:r>
            <w:r w:rsidRPr="00DB5EA4">
              <w:rPr>
                <w:rFonts w:eastAsia="Calibri"/>
              </w:rPr>
              <w:t xml:space="preserve"> a municipally owned uti</w:t>
            </w:r>
            <w:r w:rsidRPr="00DB5EA4">
              <w:rPr>
                <w:rFonts w:eastAsia="Calibri"/>
              </w:rPr>
              <w:t>lity</w:t>
            </w:r>
            <w:r w:rsidRPr="00DB5EA4">
              <w:rPr>
                <w:rFonts w:eastAsia="Calibri"/>
              </w:rPr>
              <w:t>; and</w:t>
            </w:r>
            <w:r w:rsidRPr="00DB5EA4">
              <w:rPr>
                <w:rFonts w:eastAsia="Calibri"/>
              </w:rPr>
              <w:t xml:space="preserve"> </w:t>
            </w:r>
          </w:p>
          <w:p w:rsidR="00F82418" w:rsidRPr="00DB5EA4" w:rsidRDefault="003C37F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eastAsia="Calibri"/>
              </w:rPr>
            </w:pPr>
            <w:r w:rsidRPr="00DB5EA4">
              <w:rPr>
                <w:rFonts w:eastAsia="Calibri"/>
              </w:rPr>
              <w:t xml:space="preserve">authorizing such </w:t>
            </w:r>
            <w:r w:rsidRPr="00DB5EA4">
              <w:rPr>
                <w:rFonts w:eastAsia="Calibri"/>
              </w:rPr>
              <w:t>utilit</w:t>
            </w:r>
            <w:r>
              <w:rPr>
                <w:rFonts w:eastAsia="Calibri"/>
              </w:rPr>
              <w:t>i</w:t>
            </w:r>
            <w:r w:rsidRPr="00DB5EA4">
              <w:rPr>
                <w:rFonts w:eastAsia="Calibri"/>
              </w:rPr>
              <w:t xml:space="preserve">es </w:t>
            </w:r>
            <w:r w:rsidRPr="00DB5EA4">
              <w:rPr>
                <w:rFonts w:eastAsia="Calibri"/>
              </w:rPr>
              <w:t xml:space="preserve">to make such a sale, assignment, or lease if the purchaser, assignee, or lessee is an electric cooperative or municipally owned utility. </w:t>
            </w:r>
          </w:p>
          <w:p w:rsidR="00F82418" w:rsidRPr="00F82418" w:rsidRDefault="003C37FF" w:rsidP="00C47C48">
            <w:pPr>
              <w:jc w:val="both"/>
              <w:rPr>
                <w:rFonts w:eastAsia="Calibri"/>
              </w:rPr>
            </w:pPr>
          </w:p>
          <w:p w:rsidR="003F4CA7" w:rsidRDefault="003C37FF">
            <w:pPr>
              <w:jc w:val="both"/>
            </w:pPr>
            <w:r w:rsidRPr="00F82418">
              <w:rPr>
                <w:rFonts w:eastAsia="Calibri"/>
              </w:rPr>
              <w:t>The substitute includes a provision</w:t>
            </w:r>
            <w:r w:rsidRPr="00F82418">
              <w:rPr>
                <w:rFonts w:eastAsia="Calibri"/>
              </w:rPr>
              <w:t xml:space="preserve"> establishing that that any purchase, assignment, or lease of a certificate or right obtained under a certificate requires that </w:t>
            </w:r>
            <w:r>
              <w:rPr>
                <w:rFonts w:eastAsia="Calibri"/>
              </w:rPr>
              <w:t xml:space="preserve">the </w:t>
            </w:r>
            <w:r w:rsidRPr="00F82418">
              <w:rPr>
                <w:rFonts w:eastAsia="Calibri"/>
              </w:rPr>
              <w:t>PUC</w:t>
            </w:r>
            <w:r>
              <w:rPr>
                <w:rFonts w:eastAsia="Calibri"/>
              </w:rPr>
              <w:t xml:space="preserve"> </w:t>
            </w:r>
            <w:r w:rsidRPr="00F82418">
              <w:rPr>
                <w:rFonts w:eastAsia="Calibri"/>
              </w:rPr>
              <w:t>determine that the purchaser, assignee, or lessee can provide adequate service.</w:t>
            </w:r>
          </w:p>
          <w:p w:rsidR="003F4CA7" w:rsidRPr="003F4CA7" w:rsidRDefault="003C37FF" w:rsidP="00115D88">
            <w:pPr>
              <w:jc w:val="both"/>
            </w:pPr>
          </w:p>
        </w:tc>
      </w:tr>
      <w:tr w:rsidR="00236E2A" w:rsidTr="00345119">
        <w:tc>
          <w:tcPr>
            <w:tcW w:w="9576" w:type="dxa"/>
          </w:tcPr>
          <w:p w:rsidR="0071678D" w:rsidRPr="009C1E9A" w:rsidRDefault="003C37FF" w:rsidP="00115D88">
            <w:pPr>
              <w:rPr>
                <w:b/>
                <w:u w:val="single"/>
              </w:rPr>
            </w:pPr>
          </w:p>
        </w:tc>
      </w:tr>
      <w:tr w:rsidR="00236E2A" w:rsidTr="00345119">
        <w:tc>
          <w:tcPr>
            <w:tcW w:w="9576" w:type="dxa"/>
          </w:tcPr>
          <w:p w:rsidR="0071678D" w:rsidRPr="0071678D" w:rsidRDefault="003C37FF" w:rsidP="00115D88">
            <w:pPr>
              <w:jc w:val="both"/>
            </w:pPr>
          </w:p>
        </w:tc>
      </w:tr>
    </w:tbl>
    <w:p w:rsidR="008423E4" w:rsidRPr="00BE0E75" w:rsidRDefault="003C37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37F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7FF">
      <w:r>
        <w:separator/>
      </w:r>
    </w:p>
  </w:endnote>
  <w:endnote w:type="continuationSeparator" w:id="0">
    <w:p w:rsidR="00000000" w:rsidRDefault="003C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3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6E2A" w:rsidTr="009C1E9A">
      <w:trPr>
        <w:cantSplit/>
      </w:trPr>
      <w:tc>
        <w:tcPr>
          <w:tcW w:w="0" w:type="pct"/>
        </w:tcPr>
        <w:p w:rsidR="00137D90" w:rsidRDefault="003C37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37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37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37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37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6E2A" w:rsidTr="009C1E9A">
      <w:trPr>
        <w:cantSplit/>
      </w:trPr>
      <w:tc>
        <w:tcPr>
          <w:tcW w:w="0" w:type="pct"/>
        </w:tcPr>
        <w:p w:rsidR="00EC379B" w:rsidRDefault="003C37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37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25226</w:t>
          </w:r>
        </w:p>
      </w:tc>
      <w:tc>
        <w:tcPr>
          <w:tcW w:w="2453" w:type="pct"/>
        </w:tcPr>
        <w:p w:rsidR="00EC379B" w:rsidRDefault="003C37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19.97.885</w:t>
          </w:r>
          <w:r>
            <w:fldChar w:fldCharType="end"/>
          </w:r>
        </w:p>
      </w:tc>
    </w:tr>
    <w:tr w:rsidR="00236E2A" w:rsidTr="009C1E9A">
      <w:trPr>
        <w:cantSplit/>
      </w:trPr>
      <w:tc>
        <w:tcPr>
          <w:tcW w:w="0" w:type="pct"/>
        </w:tcPr>
        <w:p w:rsidR="00EC379B" w:rsidRDefault="003C37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37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23387</w:t>
          </w:r>
        </w:p>
      </w:tc>
      <w:tc>
        <w:tcPr>
          <w:tcW w:w="2453" w:type="pct"/>
        </w:tcPr>
        <w:p w:rsidR="00EC379B" w:rsidRDefault="003C37FF" w:rsidP="006D504F">
          <w:pPr>
            <w:pStyle w:val="Footer"/>
            <w:rPr>
              <w:rStyle w:val="PageNumber"/>
            </w:rPr>
          </w:pPr>
        </w:p>
        <w:p w:rsidR="00EC379B" w:rsidRDefault="003C37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6E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37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3C37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37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7FF">
      <w:r>
        <w:separator/>
      </w:r>
    </w:p>
  </w:footnote>
  <w:footnote w:type="continuationSeparator" w:id="0">
    <w:p w:rsidR="00000000" w:rsidRDefault="003C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3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3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3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D5"/>
    <w:multiLevelType w:val="hybridMultilevel"/>
    <w:tmpl w:val="6BB6C574"/>
    <w:lvl w:ilvl="0" w:tplc="CC4E6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8D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85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0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7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2F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6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E4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2CF"/>
    <w:multiLevelType w:val="hybridMultilevel"/>
    <w:tmpl w:val="7B4EBCD6"/>
    <w:lvl w:ilvl="0" w:tplc="DD72F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84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0E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4C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7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E4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7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EE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68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95E"/>
    <w:multiLevelType w:val="hybridMultilevel"/>
    <w:tmpl w:val="2B64FC1C"/>
    <w:lvl w:ilvl="0" w:tplc="3162E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2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C4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7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25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CD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4E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AC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AD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A"/>
    <w:rsid w:val="00236E2A"/>
    <w:rsid w:val="003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B14CC-712B-48AB-BE57-3B47395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3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6"/>
    <w:rPr>
      <w:b/>
      <w:bCs/>
    </w:rPr>
  </w:style>
  <w:style w:type="paragraph" w:styleId="ListParagraph">
    <w:name w:val="List Paragraph"/>
    <w:basedOn w:val="Normal"/>
    <w:uiPriority w:val="34"/>
    <w:qFormat/>
    <w:rsid w:val="0090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7390</Characters>
  <Application>Microsoft Office Word</Application>
  <DocSecurity>4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HB03995 (Committee Report (Substituted))</vt:lpstr>
    </vt:vector>
  </TitlesOfParts>
  <Company>State of Texas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25226</dc:subject>
  <dc:creator>State of Texas</dc:creator>
  <dc:description>HB 3995 by Phelan-(H)State Affairs (Substitute Document Number: 86R 23387)</dc:description>
  <cp:lastModifiedBy>Scotty Wimberley</cp:lastModifiedBy>
  <cp:revision>2</cp:revision>
  <cp:lastPrinted>2003-11-26T17:21:00Z</cp:lastPrinted>
  <dcterms:created xsi:type="dcterms:W3CDTF">2019-04-12T14:32:00Z</dcterms:created>
  <dcterms:modified xsi:type="dcterms:W3CDTF">2019-04-12T14:32:00Z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19.97.885</vt:lpwstr>
  </property>
</Properties>
</file>