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6C7C" w:rsidTr="00345119">
        <w:tc>
          <w:tcPr>
            <w:tcW w:w="9576" w:type="dxa"/>
            <w:noWrap/>
          </w:tcPr>
          <w:p w:rsidR="008423E4" w:rsidRPr="0022177D" w:rsidRDefault="00B022B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22B2" w:rsidP="008423E4">
      <w:pPr>
        <w:jc w:val="center"/>
      </w:pPr>
    </w:p>
    <w:p w:rsidR="008423E4" w:rsidRPr="00B31F0E" w:rsidRDefault="00B022B2" w:rsidP="008423E4"/>
    <w:p w:rsidR="008423E4" w:rsidRPr="00742794" w:rsidRDefault="00B022B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6C7C" w:rsidTr="00345119">
        <w:tc>
          <w:tcPr>
            <w:tcW w:w="9576" w:type="dxa"/>
          </w:tcPr>
          <w:p w:rsidR="008423E4" w:rsidRPr="00861995" w:rsidRDefault="00B022B2" w:rsidP="00E13CDF">
            <w:pPr>
              <w:jc w:val="right"/>
            </w:pPr>
            <w:r>
              <w:t>C.S.H.B. 4008</w:t>
            </w:r>
          </w:p>
        </w:tc>
      </w:tr>
      <w:tr w:rsidR="00576C7C" w:rsidTr="00345119">
        <w:tc>
          <w:tcPr>
            <w:tcW w:w="9576" w:type="dxa"/>
          </w:tcPr>
          <w:p w:rsidR="008423E4" w:rsidRPr="00861995" w:rsidRDefault="00B022B2" w:rsidP="00D46194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576C7C" w:rsidTr="00345119">
        <w:tc>
          <w:tcPr>
            <w:tcW w:w="9576" w:type="dxa"/>
          </w:tcPr>
          <w:p w:rsidR="008423E4" w:rsidRPr="00861995" w:rsidRDefault="00B022B2" w:rsidP="00E13CDF">
            <w:pPr>
              <w:jc w:val="right"/>
            </w:pPr>
            <w:r>
              <w:t>Culture, Recreation &amp; Tourism</w:t>
            </w:r>
          </w:p>
        </w:tc>
      </w:tr>
      <w:tr w:rsidR="00576C7C" w:rsidTr="00345119">
        <w:tc>
          <w:tcPr>
            <w:tcW w:w="9576" w:type="dxa"/>
          </w:tcPr>
          <w:p w:rsidR="008423E4" w:rsidRDefault="00B022B2" w:rsidP="00E13CD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022B2" w:rsidP="008423E4">
      <w:pPr>
        <w:tabs>
          <w:tab w:val="right" w:pos="9360"/>
        </w:tabs>
      </w:pPr>
    </w:p>
    <w:p w:rsidR="008423E4" w:rsidRDefault="00B022B2" w:rsidP="008423E4"/>
    <w:p w:rsidR="008423E4" w:rsidRDefault="00B022B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76C7C" w:rsidTr="00345119">
        <w:tc>
          <w:tcPr>
            <w:tcW w:w="9576" w:type="dxa"/>
          </w:tcPr>
          <w:p w:rsidR="008423E4" w:rsidRPr="00A8133F" w:rsidRDefault="00B022B2" w:rsidP="00126B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22B2" w:rsidP="00126BB3"/>
          <w:p w:rsidR="008423E4" w:rsidRDefault="00B022B2" w:rsidP="00126BB3">
            <w:pPr>
              <w:pStyle w:val="Header"/>
              <w:jc w:val="both"/>
            </w:pPr>
            <w:r>
              <w:t>A</w:t>
            </w:r>
            <w:r>
              <w:t xml:space="preserve"> </w:t>
            </w:r>
            <w:r>
              <w:t xml:space="preserve">site selection organization for an event seeking funding through the major events reimbursement program </w:t>
            </w:r>
            <w:r>
              <w:t>must</w:t>
            </w:r>
            <w:r>
              <w:t xml:space="preserve"> submit a plan to prevent the trafficking of persons in connection with the event to the attorney general's office and the chief of the Texas Division of Emergency Management. </w:t>
            </w:r>
            <w:r w:rsidRPr="002D44C5">
              <w:t>C.S.</w:t>
            </w:r>
            <w:r>
              <w:t>H.B. 4008 seeks to develop better strategies to prevent the trafficking of p</w:t>
            </w:r>
            <w:r>
              <w:t xml:space="preserve">ersons and improve the coordination of the state's response to this practice by requiring </w:t>
            </w:r>
            <w:r>
              <w:t xml:space="preserve">that the plan </w:t>
            </w:r>
            <w:r>
              <w:t xml:space="preserve">also </w:t>
            </w:r>
            <w:r>
              <w:t xml:space="preserve">be submitted to the </w:t>
            </w:r>
            <w:r w:rsidRPr="00A16B28">
              <w:t>human trafficking prevention task force</w:t>
            </w:r>
            <w:r>
              <w:t>.</w:t>
            </w:r>
          </w:p>
          <w:p w:rsidR="008423E4" w:rsidRPr="00E26B13" w:rsidRDefault="00B022B2" w:rsidP="00126BB3">
            <w:pPr>
              <w:rPr>
                <w:b/>
              </w:rPr>
            </w:pPr>
          </w:p>
        </w:tc>
      </w:tr>
      <w:tr w:rsidR="00576C7C" w:rsidTr="00345119">
        <w:tc>
          <w:tcPr>
            <w:tcW w:w="9576" w:type="dxa"/>
          </w:tcPr>
          <w:p w:rsidR="0017725B" w:rsidRDefault="00B022B2" w:rsidP="00126B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22B2" w:rsidP="00126BB3">
            <w:pPr>
              <w:rPr>
                <w:b/>
                <w:u w:val="single"/>
              </w:rPr>
            </w:pPr>
          </w:p>
          <w:p w:rsidR="00F27599" w:rsidRPr="00F27599" w:rsidRDefault="00B022B2" w:rsidP="00126BB3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022B2" w:rsidP="00126BB3">
            <w:pPr>
              <w:rPr>
                <w:b/>
                <w:u w:val="single"/>
              </w:rPr>
            </w:pPr>
          </w:p>
        </w:tc>
      </w:tr>
      <w:tr w:rsidR="00576C7C" w:rsidTr="00345119">
        <w:tc>
          <w:tcPr>
            <w:tcW w:w="9576" w:type="dxa"/>
          </w:tcPr>
          <w:p w:rsidR="008423E4" w:rsidRPr="00A8133F" w:rsidRDefault="00B022B2" w:rsidP="00126B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22B2" w:rsidP="00126BB3"/>
          <w:p w:rsidR="00F27599" w:rsidRDefault="00B022B2" w:rsidP="00126B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022B2" w:rsidP="00126BB3">
            <w:pPr>
              <w:rPr>
                <w:b/>
              </w:rPr>
            </w:pPr>
          </w:p>
        </w:tc>
      </w:tr>
      <w:tr w:rsidR="00576C7C" w:rsidTr="00345119">
        <w:tc>
          <w:tcPr>
            <w:tcW w:w="9576" w:type="dxa"/>
          </w:tcPr>
          <w:p w:rsidR="008423E4" w:rsidRPr="00A8133F" w:rsidRDefault="00B022B2" w:rsidP="00126B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22B2" w:rsidP="00126BB3"/>
          <w:p w:rsidR="002B2498" w:rsidRDefault="00B022B2" w:rsidP="00126BB3">
            <w:pPr>
              <w:pStyle w:val="Header"/>
              <w:jc w:val="both"/>
            </w:pPr>
            <w:r w:rsidRPr="002D44C5">
              <w:t>C.S.</w:t>
            </w:r>
            <w:r>
              <w:t xml:space="preserve">H.B. 4008 amends Vernon's Texas Civil </w:t>
            </w:r>
            <w:r>
              <w:t xml:space="preserve">Statutes to </w:t>
            </w:r>
            <w:r>
              <w:t xml:space="preserve">include </w:t>
            </w:r>
            <w:r>
              <w:t>as a required condition for a</w:t>
            </w:r>
            <w:r>
              <w:t xml:space="preserve">n applicable event to receive funding through </w:t>
            </w:r>
            <w:r w:rsidRPr="00CD061F">
              <w:t xml:space="preserve">the </w:t>
            </w:r>
            <w:r>
              <w:t>m</w:t>
            </w:r>
            <w:r w:rsidRPr="00CD061F">
              <w:t xml:space="preserve">ajor </w:t>
            </w:r>
            <w:r>
              <w:t>e</w:t>
            </w:r>
            <w:r w:rsidRPr="00CD061F">
              <w:t xml:space="preserve">vents </w:t>
            </w:r>
            <w:r>
              <w:t>r</w:t>
            </w:r>
            <w:r w:rsidRPr="00CD061F">
              <w:t xml:space="preserve">eimbursement </w:t>
            </w:r>
            <w:r>
              <w:t>p</w:t>
            </w:r>
            <w:r w:rsidRPr="00CD061F">
              <w:t>rogram</w:t>
            </w:r>
            <w:r>
              <w:t xml:space="preserve"> the submission by</w:t>
            </w:r>
            <w:r>
              <w:t xml:space="preserve"> a site selection organization</w:t>
            </w:r>
            <w:r>
              <w:t xml:space="preserve"> </w:t>
            </w:r>
            <w:r>
              <w:t xml:space="preserve">or the organization hosting the event </w:t>
            </w:r>
            <w:r>
              <w:t>to the human trafficking prevention task force</w:t>
            </w:r>
            <w:r>
              <w:t>, in addition to the office of the atto</w:t>
            </w:r>
            <w:r>
              <w:t>rney general and the chief of the Texas Division of Emergency Management,</w:t>
            </w:r>
            <w:r>
              <w:t xml:space="preserve"> </w:t>
            </w:r>
            <w:r>
              <w:t xml:space="preserve">of </w:t>
            </w:r>
            <w:r>
              <w:t>the</w:t>
            </w:r>
            <w:r>
              <w:t xml:space="preserve"> </w:t>
            </w:r>
            <w:r w:rsidRPr="00307BA3">
              <w:t>plan to prevent the trafficking of persons in connection with the event</w:t>
            </w:r>
            <w:r>
              <w:t>.</w:t>
            </w:r>
            <w:r>
              <w:t xml:space="preserve"> </w:t>
            </w:r>
            <w:r>
              <w:t>T</w:t>
            </w:r>
            <w:r>
              <w:t>he</w:t>
            </w:r>
            <w:r>
              <w:t xml:space="preserve"> bill authorizes an</w:t>
            </w:r>
            <w:r>
              <w:t xml:space="preserve"> event to receive program funding, if</w:t>
            </w:r>
            <w:r>
              <w:t xml:space="preserve"> the </w:t>
            </w:r>
            <w:r>
              <w:t>Texas Economic Development and Tourism</w:t>
            </w:r>
            <w:r>
              <w:t xml:space="preserve"> Office (TEDTO)</w:t>
            </w:r>
            <w:r>
              <w:t xml:space="preserve"> determines </w:t>
            </w:r>
            <w:r>
              <w:t xml:space="preserve">the event </w:t>
            </w:r>
            <w:r>
              <w:t>is ineligible due solely to a failure to timely submit the required plan</w:t>
            </w:r>
            <w:r>
              <w:t xml:space="preserve"> to prevent the trafficking of persons to the applicable entities</w:t>
            </w:r>
            <w:r>
              <w:t>, under the following conditions</w:t>
            </w:r>
            <w:r>
              <w:t>:</w:t>
            </w:r>
          </w:p>
          <w:p w:rsidR="002B2498" w:rsidRDefault="00B022B2" w:rsidP="00126BB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plan is submitted to those entities not late</w:t>
            </w:r>
            <w:r>
              <w:t xml:space="preserve">r than seven days before the event begins and is implemented during the event; and </w:t>
            </w:r>
          </w:p>
          <w:p w:rsidR="008423E4" w:rsidRDefault="00B022B2" w:rsidP="00126BB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all other requirements for </w:t>
            </w:r>
            <w:r>
              <w:t xml:space="preserve">program </w:t>
            </w:r>
            <w:r>
              <w:t>funding</w:t>
            </w:r>
            <w:r>
              <w:t xml:space="preserve"> </w:t>
            </w:r>
            <w:r>
              <w:t>are satisfied not later than the 60th day after the last day of the fiscal year in which the event occurs</w:t>
            </w:r>
            <w:r>
              <w:t>, including the remissio</w:t>
            </w:r>
            <w:r>
              <w:t>n of certain local tax revenue to the major events reimbursement program fund and the completion of a measurable economic impact study</w:t>
            </w:r>
            <w:r>
              <w:t xml:space="preserve">, provided </w:t>
            </w:r>
            <w:r>
              <w:t xml:space="preserve">that </w:t>
            </w:r>
            <w:r>
              <w:t>submission of the plan</w:t>
            </w:r>
            <w:r>
              <w:t xml:space="preserve"> to prevent the trafficking of persons</w:t>
            </w:r>
            <w:r>
              <w:t xml:space="preserve"> was not previously required for that event.</w:t>
            </w:r>
            <w:r>
              <w:t xml:space="preserve">  </w:t>
            </w:r>
          </w:p>
          <w:p w:rsidR="00A741C8" w:rsidRDefault="00B022B2" w:rsidP="00580FD9">
            <w:pPr>
              <w:pStyle w:val="Header"/>
              <w:jc w:val="both"/>
            </w:pPr>
            <w:r>
              <w:t xml:space="preserve">The bill's provisions apply to an event that occurs before, on, or after the bill's effective date. </w:t>
            </w:r>
          </w:p>
          <w:p w:rsidR="00DD22AD" w:rsidRPr="00835628" w:rsidRDefault="00B022B2" w:rsidP="00126BB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76C7C" w:rsidTr="00345119">
        <w:tc>
          <w:tcPr>
            <w:tcW w:w="9576" w:type="dxa"/>
          </w:tcPr>
          <w:p w:rsidR="008423E4" w:rsidRPr="00A8133F" w:rsidRDefault="00B022B2" w:rsidP="00126B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22B2" w:rsidP="00126BB3"/>
          <w:p w:rsidR="008423E4" w:rsidRPr="003624F2" w:rsidRDefault="00B022B2" w:rsidP="00126B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 xml:space="preserve">on the </w:t>
            </w:r>
            <w:r w:rsidRPr="00BD4DD2">
              <w:t>90th day</w:t>
            </w:r>
            <w:r>
              <w:t xml:space="preserve"> after the last day of the legislative session.</w:t>
            </w:r>
          </w:p>
          <w:p w:rsidR="008423E4" w:rsidRPr="00233FDB" w:rsidRDefault="00B022B2" w:rsidP="00126BB3">
            <w:pPr>
              <w:rPr>
                <w:b/>
              </w:rPr>
            </w:pPr>
          </w:p>
        </w:tc>
      </w:tr>
      <w:tr w:rsidR="00576C7C" w:rsidTr="00345119">
        <w:tc>
          <w:tcPr>
            <w:tcW w:w="9576" w:type="dxa"/>
          </w:tcPr>
          <w:p w:rsidR="00D46194" w:rsidRDefault="00B022B2" w:rsidP="00D461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C7891" w:rsidRDefault="00B022B2" w:rsidP="00D46194">
            <w:pPr>
              <w:jc w:val="both"/>
              <w:rPr>
                <w:b/>
                <w:u w:val="single"/>
              </w:rPr>
            </w:pPr>
          </w:p>
          <w:p w:rsidR="00CF72DD" w:rsidRDefault="00B022B2" w:rsidP="00CF72DD">
            <w:pPr>
              <w:jc w:val="both"/>
            </w:pPr>
            <w:r>
              <w:t>While C.S.H.B. 4008 may differ from the original in minor or nonsubstantive ways, the following summarizes the substantial differences between the introduced and committee substitute versions of the bill.</w:t>
            </w:r>
          </w:p>
          <w:p w:rsidR="00CF72DD" w:rsidRDefault="00B022B2" w:rsidP="00CF72DD">
            <w:pPr>
              <w:jc w:val="both"/>
            </w:pPr>
          </w:p>
          <w:p w:rsidR="00CF72DD" w:rsidRDefault="00B022B2" w:rsidP="00CF72DD">
            <w:pPr>
              <w:jc w:val="both"/>
            </w:pPr>
            <w:r>
              <w:t>The substit</w:t>
            </w:r>
            <w:r>
              <w:t>ute includes the following:</w:t>
            </w:r>
          </w:p>
          <w:p w:rsidR="00CF72DD" w:rsidRDefault="00B022B2" w:rsidP="00CF72D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a specification that the organization hosting the event may submit the required plan to prevent the trafficking of persons as an alternative to its submission by the site selection organization; </w:t>
            </w:r>
          </w:p>
          <w:p w:rsidR="00CF72DD" w:rsidRDefault="00B022B2" w:rsidP="00CF72D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a provision authorizing an event</w:t>
            </w:r>
            <w:r>
              <w:t xml:space="preserve"> determined to be ineligible for program funding due solely to a failure to timely submit that required plan to receive funding if the plan is submitted by an alternate deadline and implemented during the event and certain other conditions are met; and</w:t>
            </w:r>
          </w:p>
          <w:p w:rsidR="00CF72DD" w:rsidRDefault="00B022B2" w:rsidP="00CF72D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 p</w:t>
            </w:r>
            <w:r>
              <w:t>rovision making the bill applicable to an event that occurs before, on, or after the bill's effective date.</w:t>
            </w:r>
          </w:p>
          <w:p w:rsidR="00CF72DD" w:rsidRDefault="00B022B2" w:rsidP="00CF72DD">
            <w:pPr>
              <w:jc w:val="both"/>
            </w:pPr>
          </w:p>
          <w:p w:rsidR="00CF72DD" w:rsidRDefault="00B022B2" w:rsidP="00CF72DD">
            <w:pPr>
              <w:jc w:val="both"/>
            </w:pPr>
            <w:r>
              <w:t>The substitute changes the effective date from September 1, 2019, to the 90th day after the last day of the legislative session.</w:t>
            </w:r>
          </w:p>
          <w:p w:rsidR="00CF72DD" w:rsidRPr="00D46194" w:rsidRDefault="00B022B2" w:rsidP="00CF72DD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B022B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22B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22B2">
      <w:r>
        <w:separator/>
      </w:r>
    </w:p>
  </w:endnote>
  <w:endnote w:type="continuationSeparator" w:id="0">
    <w:p w:rsidR="00000000" w:rsidRDefault="00B0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6C7C" w:rsidTr="009C1E9A">
      <w:trPr>
        <w:cantSplit/>
      </w:trPr>
      <w:tc>
        <w:tcPr>
          <w:tcW w:w="0" w:type="pct"/>
        </w:tcPr>
        <w:p w:rsidR="00137D90" w:rsidRDefault="00B022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22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22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22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22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6C7C" w:rsidTr="009C1E9A">
      <w:trPr>
        <w:cantSplit/>
      </w:trPr>
      <w:tc>
        <w:tcPr>
          <w:tcW w:w="0" w:type="pct"/>
        </w:tcPr>
        <w:p w:rsidR="00EC379B" w:rsidRDefault="00B022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22B2" w:rsidP="00E13CD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29508</w:t>
          </w:r>
        </w:p>
      </w:tc>
      <w:tc>
        <w:tcPr>
          <w:tcW w:w="2453" w:type="pct"/>
        </w:tcPr>
        <w:p w:rsidR="00EC379B" w:rsidRDefault="00B022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19.114.118</w:t>
          </w:r>
          <w:r>
            <w:fldChar w:fldCharType="end"/>
          </w:r>
        </w:p>
      </w:tc>
    </w:tr>
    <w:tr w:rsidR="00576C7C" w:rsidTr="009C1E9A">
      <w:trPr>
        <w:cantSplit/>
      </w:trPr>
      <w:tc>
        <w:tcPr>
          <w:tcW w:w="0" w:type="pct"/>
        </w:tcPr>
        <w:p w:rsidR="00EC379B" w:rsidRDefault="00B022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22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022B2" w:rsidP="006D504F">
          <w:pPr>
            <w:pStyle w:val="Footer"/>
            <w:rPr>
              <w:rStyle w:val="PageNumber"/>
            </w:rPr>
          </w:pPr>
        </w:p>
        <w:p w:rsidR="00EC379B" w:rsidRDefault="00B022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6C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22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022B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22B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22B2">
      <w:r>
        <w:separator/>
      </w:r>
    </w:p>
  </w:footnote>
  <w:footnote w:type="continuationSeparator" w:id="0">
    <w:p w:rsidR="00000000" w:rsidRDefault="00B0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2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AB9"/>
    <w:multiLevelType w:val="hybridMultilevel"/>
    <w:tmpl w:val="DE1A2D84"/>
    <w:lvl w:ilvl="0" w:tplc="FAD8F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0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2D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EE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E3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00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E4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24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4A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205A"/>
    <w:multiLevelType w:val="hybridMultilevel"/>
    <w:tmpl w:val="855A3C2E"/>
    <w:lvl w:ilvl="0" w:tplc="0472F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05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C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88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47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8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C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E7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81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7C"/>
    <w:rsid w:val="00576C7C"/>
    <w:rsid w:val="00B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B5B6DD-87D4-40C1-B97E-9028B3F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4E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E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EDC"/>
    <w:rPr>
      <w:b/>
      <w:bCs/>
    </w:rPr>
  </w:style>
  <w:style w:type="paragraph" w:styleId="ListParagraph">
    <w:name w:val="List Paragraph"/>
    <w:basedOn w:val="Normal"/>
    <w:uiPriority w:val="34"/>
    <w:qFormat/>
    <w:rsid w:val="0039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3175</Characters>
  <Application>Microsoft Office Word</Application>
  <DocSecurity>4</DocSecurity>
  <Lines>77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HB04008 (Committee Report (Substituted))</vt:lpstr>
    </vt:vector>
  </TitlesOfParts>
  <Company>State of Texas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29508</dc:subject>
  <dc:creator>State of Texas</dc:creator>
  <dc:description>HB 4008 by Frullo-(H)Culture, Recreation &amp; Tourism</dc:description>
  <cp:lastModifiedBy>Erin Conway</cp:lastModifiedBy>
  <cp:revision>2</cp:revision>
  <cp:lastPrinted>2003-11-26T17:21:00Z</cp:lastPrinted>
  <dcterms:created xsi:type="dcterms:W3CDTF">2019-04-24T23:48:00Z</dcterms:created>
  <dcterms:modified xsi:type="dcterms:W3CDTF">2019-04-24T23:48:00Z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19.114.118</vt:lpwstr>
  </property>
</Properties>
</file>