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64E45" w:rsidTr="00345119">
        <w:tc>
          <w:tcPr>
            <w:tcW w:w="9576" w:type="dxa"/>
            <w:noWrap/>
          </w:tcPr>
          <w:p w:rsidR="008423E4" w:rsidRPr="0022177D" w:rsidRDefault="007B7C2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B7C25" w:rsidP="008423E4">
      <w:pPr>
        <w:jc w:val="center"/>
      </w:pPr>
    </w:p>
    <w:p w:rsidR="008423E4" w:rsidRPr="00B31F0E" w:rsidRDefault="007B7C25" w:rsidP="008423E4"/>
    <w:p w:rsidR="008423E4" w:rsidRPr="00742794" w:rsidRDefault="007B7C2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4E45" w:rsidTr="00345119">
        <w:tc>
          <w:tcPr>
            <w:tcW w:w="9576" w:type="dxa"/>
          </w:tcPr>
          <w:p w:rsidR="008423E4" w:rsidRPr="00861995" w:rsidRDefault="007B7C25" w:rsidP="00345119">
            <w:pPr>
              <w:jc w:val="right"/>
            </w:pPr>
            <w:r>
              <w:t>H.B. 4032</w:t>
            </w:r>
          </w:p>
        </w:tc>
      </w:tr>
      <w:tr w:rsidR="00664E45" w:rsidTr="00345119">
        <w:tc>
          <w:tcPr>
            <w:tcW w:w="9576" w:type="dxa"/>
          </w:tcPr>
          <w:p w:rsidR="008423E4" w:rsidRPr="00861995" w:rsidRDefault="007B7C25" w:rsidP="007210DF">
            <w:pPr>
              <w:jc w:val="right"/>
            </w:pPr>
            <w:r>
              <w:t xml:space="preserve">By: </w:t>
            </w:r>
            <w:r>
              <w:t>Guillen</w:t>
            </w:r>
          </w:p>
        </w:tc>
      </w:tr>
      <w:tr w:rsidR="00664E45" w:rsidTr="00345119">
        <w:tc>
          <w:tcPr>
            <w:tcW w:w="9576" w:type="dxa"/>
          </w:tcPr>
          <w:p w:rsidR="008423E4" w:rsidRPr="00861995" w:rsidRDefault="007B7C25" w:rsidP="00345119">
            <w:pPr>
              <w:jc w:val="right"/>
            </w:pPr>
            <w:r>
              <w:t>Ways &amp; Means</w:t>
            </w:r>
          </w:p>
        </w:tc>
      </w:tr>
      <w:tr w:rsidR="00664E45" w:rsidTr="00345119">
        <w:tc>
          <w:tcPr>
            <w:tcW w:w="9576" w:type="dxa"/>
          </w:tcPr>
          <w:p w:rsidR="008423E4" w:rsidRDefault="007B7C2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B7C25" w:rsidP="008423E4">
      <w:pPr>
        <w:tabs>
          <w:tab w:val="right" w:pos="9360"/>
        </w:tabs>
      </w:pPr>
    </w:p>
    <w:p w:rsidR="008423E4" w:rsidRDefault="007B7C25" w:rsidP="008423E4"/>
    <w:p w:rsidR="008423E4" w:rsidRDefault="007B7C2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64E45" w:rsidTr="00345119">
        <w:tc>
          <w:tcPr>
            <w:tcW w:w="9576" w:type="dxa"/>
          </w:tcPr>
          <w:p w:rsidR="008423E4" w:rsidRPr="00A8133F" w:rsidRDefault="007B7C25" w:rsidP="00151A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B7C25" w:rsidP="00151AD7"/>
          <w:p w:rsidR="008423E4" w:rsidRDefault="007B7C25" w:rsidP="00151AD7">
            <w:pPr>
              <w:pStyle w:val="Header"/>
              <w:jc w:val="both"/>
            </w:pPr>
            <w:r>
              <w:t xml:space="preserve">Concerns have been raised regarding the loss of jobs, economic activity, and tax revenue by </w:t>
            </w:r>
            <w:r>
              <w:t xml:space="preserve">the marine industry </w:t>
            </w:r>
            <w:r>
              <w:t>in</w:t>
            </w:r>
            <w:r>
              <w:t xml:space="preserve"> Texas </w:t>
            </w:r>
            <w:r>
              <w:t xml:space="preserve">due to the competitive advantages enjoyed by other states from favorable </w:t>
            </w:r>
            <w:r>
              <w:t>boat sales tax and regulations.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4032 </w:t>
            </w:r>
            <w:r>
              <w:t>seeks to address this issue by</w:t>
            </w:r>
            <w:r>
              <w:t xml:space="preserve"> provid</w:t>
            </w:r>
            <w:r>
              <w:t>ing</w:t>
            </w:r>
            <w:r>
              <w:t xml:space="preserve"> </w:t>
            </w:r>
            <w:r>
              <w:t xml:space="preserve">for a more competitive sales tax </w:t>
            </w:r>
            <w:r>
              <w:t xml:space="preserve">on </w:t>
            </w:r>
            <w:r>
              <w:t>certain</w:t>
            </w:r>
            <w:r>
              <w:t xml:space="preserve"> vessels</w:t>
            </w:r>
            <w:r>
              <w:t xml:space="preserve"> and motors</w:t>
            </w:r>
            <w:r>
              <w:t>.</w:t>
            </w:r>
          </w:p>
          <w:p w:rsidR="008423E4" w:rsidRPr="00E26B13" w:rsidRDefault="007B7C25" w:rsidP="00151AD7">
            <w:pPr>
              <w:rPr>
                <w:b/>
              </w:rPr>
            </w:pPr>
          </w:p>
        </w:tc>
      </w:tr>
      <w:tr w:rsidR="00664E45" w:rsidTr="00345119">
        <w:tc>
          <w:tcPr>
            <w:tcW w:w="9576" w:type="dxa"/>
          </w:tcPr>
          <w:p w:rsidR="0017725B" w:rsidRDefault="007B7C25" w:rsidP="00151A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B7C25" w:rsidP="00151AD7">
            <w:pPr>
              <w:rPr>
                <w:b/>
                <w:u w:val="single"/>
              </w:rPr>
            </w:pPr>
          </w:p>
          <w:p w:rsidR="003D32CA" w:rsidRPr="003D32CA" w:rsidRDefault="007B7C25" w:rsidP="00151AD7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:rsidR="0017725B" w:rsidRPr="0017725B" w:rsidRDefault="007B7C25" w:rsidP="00151AD7">
            <w:pPr>
              <w:rPr>
                <w:b/>
                <w:u w:val="single"/>
              </w:rPr>
            </w:pPr>
          </w:p>
        </w:tc>
      </w:tr>
      <w:tr w:rsidR="00664E45" w:rsidTr="00345119">
        <w:tc>
          <w:tcPr>
            <w:tcW w:w="9576" w:type="dxa"/>
          </w:tcPr>
          <w:p w:rsidR="008423E4" w:rsidRPr="00A8133F" w:rsidRDefault="007B7C25" w:rsidP="00151A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B7C25" w:rsidP="00151AD7"/>
          <w:p w:rsidR="00D168F7" w:rsidRDefault="007B7C25" w:rsidP="00151A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comptroller of public accounts in SECTION 4 of this bill.</w:t>
            </w:r>
          </w:p>
          <w:p w:rsidR="008423E4" w:rsidRPr="00E21FDC" w:rsidRDefault="007B7C25" w:rsidP="00151AD7">
            <w:pPr>
              <w:rPr>
                <w:b/>
              </w:rPr>
            </w:pPr>
          </w:p>
        </w:tc>
      </w:tr>
      <w:tr w:rsidR="00664E45" w:rsidTr="00345119">
        <w:tc>
          <w:tcPr>
            <w:tcW w:w="9576" w:type="dxa"/>
          </w:tcPr>
          <w:p w:rsidR="008423E4" w:rsidRPr="00A8133F" w:rsidRDefault="007B7C25" w:rsidP="00151A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B7C25" w:rsidP="00151AD7"/>
          <w:p w:rsidR="008B5CAA" w:rsidRDefault="007B7C25" w:rsidP="00151AD7">
            <w:pPr>
              <w:pStyle w:val="Header"/>
              <w:jc w:val="both"/>
            </w:pPr>
            <w:r>
              <w:t xml:space="preserve">H.B. 4032 amends the </w:t>
            </w:r>
            <w:r w:rsidRPr="00D168F7">
              <w:t>Tax Code</w:t>
            </w:r>
            <w:r>
              <w:t xml:space="preserve"> to exempt </w:t>
            </w:r>
            <w:r>
              <w:t>certain</w:t>
            </w:r>
            <w:r>
              <w:t xml:space="preserve"> taxable boat</w:t>
            </w:r>
            <w:r>
              <w:t>s</w:t>
            </w:r>
            <w:r>
              <w:t xml:space="preserve"> or </w:t>
            </w:r>
            <w:r>
              <w:t xml:space="preserve">boat </w:t>
            </w:r>
            <w:r>
              <w:t>motor</w:t>
            </w:r>
            <w:r>
              <w:t>s, as specified by the bill,</w:t>
            </w:r>
            <w:r>
              <w:t xml:space="preserve"> from</w:t>
            </w:r>
            <w:r>
              <w:t xml:space="preserve"> the</w:t>
            </w:r>
            <w:r>
              <w:t xml:space="preserve"> </w:t>
            </w:r>
            <w:r>
              <w:t>taxes on the sales and use of boats and boat motors</w:t>
            </w:r>
            <w:r>
              <w:t xml:space="preserve"> </w:t>
            </w:r>
            <w:r>
              <w:t>if</w:t>
            </w:r>
            <w:r>
              <w:t>:</w:t>
            </w:r>
          </w:p>
          <w:p w:rsidR="00903ABB" w:rsidRDefault="007B7C25" w:rsidP="00151AD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</w:t>
            </w:r>
            <w:r>
              <w:t xml:space="preserve">he </w:t>
            </w:r>
            <w:r>
              <w:t xml:space="preserve">taxable </w:t>
            </w:r>
            <w:r>
              <w:t xml:space="preserve">boat or motor is sold in </w:t>
            </w:r>
            <w:r>
              <w:t>Texas</w:t>
            </w:r>
            <w:r>
              <w:t xml:space="preserve"> for use in another state or nation and is removed from </w:t>
            </w:r>
            <w:r>
              <w:t xml:space="preserve">Texas </w:t>
            </w:r>
            <w:r>
              <w:t xml:space="preserve">not more than 10 </w:t>
            </w:r>
            <w:r>
              <w:t>days after the date of purchase</w:t>
            </w:r>
            <w:r>
              <w:t>;</w:t>
            </w:r>
          </w:p>
          <w:p w:rsidR="00903ABB" w:rsidRDefault="007B7C25" w:rsidP="00151AD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the </w:t>
            </w:r>
            <w:r>
              <w:t xml:space="preserve">taxable </w:t>
            </w:r>
            <w:r>
              <w:t>boat or motor:</w:t>
            </w:r>
          </w:p>
          <w:p w:rsidR="00903ABB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is sold in </w:t>
            </w:r>
            <w:r>
              <w:t>Texas</w:t>
            </w:r>
            <w:r>
              <w:t xml:space="preserve"> for use in another state or nation; </w:t>
            </w:r>
          </w:p>
          <w:p w:rsidR="00903ABB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>not later than the 10th day after the date the boat or motor is purchased, is docked at or placed in a boat repair facility registered with the comptroller</w:t>
            </w:r>
            <w:r>
              <w:t xml:space="preserve"> of public account</w:t>
            </w:r>
            <w:r>
              <w:t>s</w:t>
            </w:r>
            <w:r>
              <w:t xml:space="preserve"> for repairs or modifications; </w:t>
            </w:r>
          </w:p>
          <w:p w:rsidR="00903ABB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is </w:t>
            </w:r>
            <w:r>
              <w:t xml:space="preserve">not used by a person while it is being repaired or modified, except as necessary to test the repairs or modifications; </w:t>
            </w:r>
            <w:r>
              <w:t>and</w:t>
            </w:r>
          </w:p>
          <w:p w:rsidR="00903ABB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and is removed from </w:t>
            </w:r>
            <w:r>
              <w:t>Texas</w:t>
            </w:r>
            <w:r>
              <w:t xml:space="preserve"> not more than 20 days after the date the repairs o</w:t>
            </w:r>
            <w:r>
              <w:t>r modifications are f</w:t>
            </w:r>
            <w:r>
              <w:t>inished; or</w:t>
            </w:r>
          </w:p>
          <w:p w:rsidR="00AF5FFE" w:rsidRDefault="007B7C25" w:rsidP="00151AD7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</w:t>
            </w:r>
            <w:r>
              <w:t xml:space="preserve">he </w:t>
            </w:r>
            <w:r>
              <w:t xml:space="preserve">taxable </w:t>
            </w:r>
            <w:r>
              <w:t>boat or motor</w:t>
            </w:r>
            <w:r>
              <w:t>:</w:t>
            </w:r>
          </w:p>
          <w:p w:rsidR="00AF5FFE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is sold in </w:t>
            </w:r>
            <w:r>
              <w:t>Texas</w:t>
            </w:r>
            <w:r>
              <w:t xml:space="preserve"> for use in another state or nation;</w:t>
            </w:r>
            <w:r>
              <w:t xml:space="preserve"> </w:t>
            </w:r>
          </w:p>
          <w:p w:rsidR="00AF5FFE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 xml:space="preserve">displays a </w:t>
            </w:r>
            <w:r>
              <w:t xml:space="preserve">temporary use </w:t>
            </w:r>
            <w:r>
              <w:t xml:space="preserve">permit at all times after the boat or motor is purchased until the boat or motor is removed from </w:t>
            </w:r>
            <w:r>
              <w:t>Texas</w:t>
            </w:r>
            <w:r>
              <w:t xml:space="preserve">; </w:t>
            </w:r>
          </w:p>
          <w:p w:rsidR="008B5CAA" w:rsidRDefault="007B7C25" w:rsidP="00151AD7">
            <w:pPr>
              <w:pStyle w:val="Header"/>
              <w:numPr>
                <w:ilvl w:val="1"/>
                <w:numId w:val="2"/>
              </w:numPr>
              <w:spacing w:before="120" w:after="120"/>
              <w:jc w:val="both"/>
            </w:pPr>
            <w:r>
              <w:t>and</w:t>
            </w:r>
            <w:r>
              <w:t xml:space="preserve"> </w:t>
            </w:r>
            <w:r>
              <w:t xml:space="preserve">is removed from </w:t>
            </w:r>
            <w:r>
              <w:t xml:space="preserve">Texas </w:t>
            </w:r>
            <w:r>
              <w:t xml:space="preserve">not </w:t>
            </w:r>
            <w:r>
              <w:t>more than 90 days after the date of purchase.</w:t>
            </w:r>
          </w:p>
          <w:p w:rsidR="008B5CAA" w:rsidRDefault="007B7C25" w:rsidP="00151AD7">
            <w:pPr>
              <w:pStyle w:val="Header"/>
              <w:jc w:val="both"/>
            </w:pPr>
          </w:p>
          <w:p w:rsidR="00191DE7" w:rsidRDefault="007B7C25" w:rsidP="00151AD7">
            <w:pPr>
              <w:pStyle w:val="Header"/>
              <w:jc w:val="both"/>
            </w:pPr>
            <w:r>
              <w:t xml:space="preserve">H.B. 4032 exempts </w:t>
            </w:r>
            <w:r>
              <w:t xml:space="preserve">from the use tax </w:t>
            </w:r>
            <w:r>
              <w:t>such a taxable boat or boat mot</w:t>
            </w:r>
            <w:r>
              <w:t>o</w:t>
            </w:r>
            <w:r>
              <w:t xml:space="preserve">r </w:t>
            </w:r>
            <w:r>
              <w:t xml:space="preserve">used in or brought into Texas </w:t>
            </w:r>
            <w:r>
              <w:t xml:space="preserve">for use </w:t>
            </w:r>
            <w:r>
              <w:t>if the boat or motor</w:t>
            </w:r>
            <w:r>
              <w:t>:</w:t>
            </w:r>
            <w:r>
              <w:t xml:space="preserve"> </w:t>
            </w:r>
          </w:p>
          <w:p w:rsidR="00191DE7" w:rsidRDefault="007B7C25" w:rsidP="00151AD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has a current certificate of number issued under any federal law or a federally</w:t>
            </w:r>
            <w:r>
              <w:t xml:space="preserve"> approved numbering system of another state, </w:t>
            </w:r>
          </w:p>
          <w:p w:rsidR="00191DE7" w:rsidRDefault="007B7C25" w:rsidP="00151AD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displays an applicable temporary use permit issued under the bill's provisions at all times while the boat or motor is located in Texas, and </w:t>
            </w:r>
          </w:p>
          <w:p w:rsidR="009D1295" w:rsidRDefault="007B7C25" w:rsidP="00151AD7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is removed from Texas not more than 90 days after the date the boat </w:t>
            </w:r>
            <w:r>
              <w:t>or motor is brought into Texas.</w:t>
            </w:r>
          </w:p>
          <w:p w:rsidR="009D1295" w:rsidRDefault="007B7C25" w:rsidP="00151AD7">
            <w:pPr>
              <w:pStyle w:val="Header"/>
              <w:jc w:val="both"/>
            </w:pPr>
            <w:r>
              <w:t>The bill</w:t>
            </w:r>
            <w:r>
              <w:t xml:space="preserve"> authorizes the comptroller or an </w:t>
            </w:r>
            <w:r>
              <w:t xml:space="preserve">authorized </w:t>
            </w:r>
            <w:r>
              <w:t xml:space="preserve">agent of the </w:t>
            </w:r>
            <w:r w:rsidRPr="00054932">
              <w:t>Parks and Wildlife Department</w:t>
            </w:r>
            <w:r>
              <w:t xml:space="preserve"> to </w:t>
            </w:r>
            <w:r w:rsidRPr="00054932">
              <w:t xml:space="preserve">issue a temporary use permit to the owner of </w:t>
            </w:r>
            <w:r>
              <w:t>certain</w:t>
            </w:r>
            <w:r w:rsidRPr="00054932">
              <w:t xml:space="preserve"> taxable boat</w:t>
            </w:r>
            <w:r>
              <w:t>s</w:t>
            </w:r>
            <w:r w:rsidRPr="00054932">
              <w:t xml:space="preserve"> or motor</w:t>
            </w:r>
            <w:r>
              <w:t>s</w:t>
            </w:r>
            <w:r w:rsidRPr="00054932">
              <w:t xml:space="preserve"> that qualif</w:t>
            </w:r>
            <w:r>
              <w:t>y</w:t>
            </w:r>
            <w:r w:rsidRPr="00054932">
              <w:t xml:space="preserve"> for an exemption</w:t>
            </w:r>
            <w:r>
              <w:t xml:space="preserve"> under the bill's p</w:t>
            </w:r>
            <w:r>
              <w:t xml:space="preserve">rovisions. The bill </w:t>
            </w:r>
            <w:r>
              <w:t xml:space="preserve">sets </w:t>
            </w:r>
            <w:r>
              <w:t xml:space="preserve">the fee for </w:t>
            </w:r>
            <w:r>
              <w:t xml:space="preserve">the </w:t>
            </w:r>
            <w:r>
              <w:t xml:space="preserve">permit </w:t>
            </w:r>
            <w:r>
              <w:t xml:space="preserve">at </w:t>
            </w:r>
            <w:r>
              <w:t xml:space="preserve">$150 and </w:t>
            </w:r>
            <w:r>
              <w:t xml:space="preserve">establishes that the </w:t>
            </w:r>
            <w:r>
              <w:t xml:space="preserve">permit is valid for 90 days and </w:t>
            </w:r>
            <w:r>
              <w:t xml:space="preserve">may not be </w:t>
            </w:r>
            <w:r>
              <w:t xml:space="preserve">renewed. The bill </w:t>
            </w:r>
            <w:r>
              <w:t>limits</w:t>
            </w:r>
            <w:r>
              <w:t xml:space="preserve"> the number of permits an owner of a taxable boat or motor may obtain in a calendar year to two and</w:t>
            </w:r>
            <w:r>
              <w:t xml:space="preserve"> prohibit</w:t>
            </w:r>
            <w:r>
              <w:t xml:space="preserve">s the second permit in a calendar year from being issued </w:t>
            </w:r>
            <w:r w:rsidRPr="00054932">
              <w:t>before the 30th day after the date the first permit expires.</w:t>
            </w:r>
            <w:r>
              <w:t xml:space="preserve"> The bill requires the comptroller to adopt rules and procedures to implement these provisions.</w:t>
            </w:r>
            <w:r>
              <w:t xml:space="preserve"> </w:t>
            </w:r>
          </w:p>
          <w:p w:rsidR="009D1295" w:rsidRDefault="007B7C25" w:rsidP="00151AD7">
            <w:pPr>
              <w:pStyle w:val="Header"/>
              <w:jc w:val="both"/>
            </w:pPr>
          </w:p>
          <w:p w:rsidR="003D32CA" w:rsidRDefault="007B7C25" w:rsidP="00151AD7">
            <w:pPr>
              <w:pStyle w:val="Header"/>
              <w:jc w:val="both"/>
            </w:pPr>
            <w:r>
              <w:t>H.B. 4032 caps</w:t>
            </w:r>
            <w:r>
              <w:t xml:space="preserve"> the retail sales tax on th</w:t>
            </w:r>
            <w:r>
              <w:t>e sa</w:t>
            </w:r>
            <w:r>
              <w:t>le of a taxable boat or motor at</w:t>
            </w:r>
            <w:r>
              <w:t xml:space="preserve"> </w:t>
            </w:r>
            <w:r>
              <w:t>$18,750</w:t>
            </w:r>
            <w:r>
              <w:t xml:space="preserve"> and</w:t>
            </w:r>
            <w:r>
              <w:t xml:space="preserve"> changes the maximum length of a vessel </w:t>
            </w:r>
            <w:r>
              <w:t>under which</w:t>
            </w:r>
            <w:r>
              <w:t xml:space="preserve"> a boat </w:t>
            </w:r>
            <w:r>
              <w:t xml:space="preserve">is subject to the </w:t>
            </w:r>
            <w:r>
              <w:t>sales and use tax on boats and boat motors</w:t>
            </w:r>
            <w:r>
              <w:t xml:space="preserve"> from 65 feet to 115 feet</w:t>
            </w:r>
            <w:r>
              <w:t xml:space="preserve">. </w:t>
            </w:r>
          </w:p>
          <w:p w:rsidR="003D32CA" w:rsidRDefault="007B7C25" w:rsidP="00151AD7">
            <w:pPr>
              <w:pStyle w:val="Header"/>
              <w:jc w:val="both"/>
            </w:pPr>
          </w:p>
          <w:p w:rsidR="003D32CA" w:rsidRDefault="007B7C25" w:rsidP="00151AD7">
            <w:pPr>
              <w:pStyle w:val="Header"/>
              <w:jc w:val="both"/>
            </w:pPr>
            <w:r>
              <w:t>H.B. 4032 amends the Parks and Wildlife Code to make conform</w:t>
            </w:r>
            <w:r>
              <w:t xml:space="preserve">ing changes.  </w:t>
            </w:r>
          </w:p>
          <w:p w:rsidR="008423E4" w:rsidRPr="00835628" w:rsidRDefault="007B7C25" w:rsidP="00151AD7">
            <w:pPr>
              <w:rPr>
                <w:b/>
              </w:rPr>
            </w:pPr>
          </w:p>
        </w:tc>
      </w:tr>
      <w:tr w:rsidR="00664E45" w:rsidTr="00345119">
        <w:tc>
          <w:tcPr>
            <w:tcW w:w="9576" w:type="dxa"/>
          </w:tcPr>
          <w:p w:rsidR="008423E4" w:rsidRPr="00A8133F" w:rsidRDefault="007B7C25" w:rsidP="00151A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B7C25" w:rsidP="00151AD7"/>
          <w:p w:rsidR="008423E4" w:rsidRPr="003624F2" w:rsidRDefault="007B7C25" w:rsidP="00151A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32CA">
              <w:t>September 1, 2019.</w:t>
            </w:r>
          </w:p>
          <w:p w:rsidR="008423E4" w:rsidRPr="00233FDB" w:rsidRDefault="007B7C25" w:rsidP="00151AD7">
            <w:pPr>
              <w:rPr>
                <w:b/>
              </w:rPr>
            </w:pPr>
          </w:p>
        </w:tc>
      </w:tr>
    </w:tbl>
    <w:p w:rsidR="008423E4" w:rsidRPr="00BE0E75" w:rsidRDefault="007B7C2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B7C25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7C25">
      <w:r>
        <w:separator/>
      </w:r>
    </w:p>
  </w:endnote>
  <w:endnote w:type="continuationSeparator" w:id="0">
    <w:p w:rsidR="00000000" w:rsidRDefault="007B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4E45" w:rsidTr="009C1E9A">
      <w:trPr>
        <w:cantSplit/>
      </w:trPr>
      <w:tc>
        <w:tcPr>
          <w:tcW w:w="0" w:type="pct"/>
        </w:tcPr>
        <w:p w:rsidR="00137D90" w:rsidRDefault="007B7C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B7C2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B7C2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B7C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B7C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E45" w:rsidTr="009C1E9A">
      <w:trPr>
        <w:cantSplit/>
      </w:trPr>
      <w:tc>
        <w:tcPr>
          <w:tcW w:w="0" w:type="pct"/>
        </w:tcPr>
        <w:p w:rsidR="00EC379B" w:rsidRDefault="007B7C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B7C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25174</w:t>
          </w:r>
        </w:p>
      </w:tc>
      <w:tc>
        <w:tcPr>
          <w:tcW w:w="2453" w:type="pct"/>
        </w:tcPr>
        <w:p w:rsidR="00EC379B" w:rsidRDefault="007B7C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19.98.1191</w:t>
          </w:r>
          <w:r>
            <w:fldChar w:fldCharType="end"/>
          </w:r>
        </w:p>
      </w:tc>
    </w:tr>
    <w:tr w:rsidR="00664E45" w:rsidTr="009C1E9A">
      <w:trPr>
        <w:cantSplit/>
      </w:trPr>
      <w:tc>
        <w:tcPr>
          <w:tcW w:w="0" w:type="pct"/>
        </w:tcPr>
        <w:p w:rsidR="00EC379B" w:rsidRDefault="007B7C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B7C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B7C25" w:rsidP="006D504F">
          <w:pPr>
            <w:pStyle w:val="Footer"/>
            <w:rPr>
              <w:rStyle w:val="PageNumber"/>
            </w:rPr>
          </w:pPr>
        </w:p>
        <w:p w:rsidR="00EC379B" w:rsidRDefault="007B7C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E4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B7C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B7C2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B7C2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7C25">
      <w:r>
        <w:separator/>
      </w:r>
    </w:p>
  </w:footnote>
  <w:footnote w:type="continuationSeparator" w:id="0">
    <w:p w:rsidR="00000000" w:rsidRDefault="007B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B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467"/>
    <w:multiLevelType w:val="hybridMultilevel"/>
    <w:tmpl w:val="4A68CC40"/>
    <w:lvl w:ilvl="0" w:tplc="FCCA7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EB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03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7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E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2D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E8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45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21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BD6"/>
    <w:multiLevelType w:val="hybridMultilevel"/>
    <w:tmpl w:val="4BE62656"/>
    <w:lvl w:ilvl="0" w:tplc="927AD4BC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D69243C8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9B7A29CC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E81C0FBA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AA2E51AA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782C8A46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2B1C1AA4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453A3410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9AB48D48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5"/>
    <w:rsid w:val="00664E45"/>
    <w:rsid w:val="007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4C68B2-B3EA-4F34-A6EA-1E6BBC3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32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2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2944</Characters>
  <Application>Microsoft Office Word</Application>
  <DocSecurity>4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HB04032 (Committee Report (Unamended))</vt:lpstr>
    </vt:vector>
  </TitlesOfParts>
  <Company>State of Texas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25174</dc:subject>
  <dc:creator>State of Texas</dc:creator>
  <dc:description>HB 4032 by Guillen-(H)Ways &amp; Means</dc:description>
  <cp:lastModifiedBy>Erin Conway</cp:lastModifiedBy>
  <cp:revision>2</cp:revision>
  <cp:lastPrinted>2003-11-26T17:21:00Z</cp:lastPrinted>
  <dcterms:created xsi:type="dcterms:W3CDTF">2019-04-25T22:35:00Z</dcterms:created>
  <dcterms:modified xsi:type="dcterms:W3CDTF">2019-04-25T22:35:00Z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19.98.1191</vt:lpwstr>
  </property>
</Properties>
</file>