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77D3A" w:rsidTr="00345119">
        <w:tc>
          <w:tcPr>
            <w:tcW w:w="9576" w:type="dxa"/>
            <w:noWrap/>
          </w:tcPr>
          <w:p w:rsidR="008423E4" w:rsidRPr="0022177D" w:rsidRDefault="00DF481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F4819" w:rsidP="008423E4">
      <w:pPr>
        <w:jc w:val="center"/>
      </w:pPr>
    </w:p>
    <w:p w:rsidR="008423E4" w:rsidRPr="00B31F0E" w:rsidRDefault="00DF4819" w:rsidP="008423E4"/>
    <w:p w:rsidR="008423E4" w:rsidRPr="00742794" w:rsidRDefault="00DF481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77D3A" w:rsidTr="00345119">
        <w:tc>
          <w:tcPr>
            <w:tcW w:w="9576" w:type="dxa"/>
          </w:tcPr>
          <w:p w:rsidR="008423E4" w:rsidRPr="00861995" w:rsidRDefault="00DF4819" w:rsidP="00345119">
            <w:pPr>
              <w:jc w:val="right"/>
            </w:pPr>
            <w:r>
              <w:t>C.S.H.B. 4044</w:t>
            </w:r>
          </w:p>
        </w:tc>
      </w:tr>
      <w:tr w:rsidR="00977D3A" w:rsidTr="00345119">
        <w:tc>
          <w:tcPr>
            <w:tcW w:w="9576" w:type="dxa"/>
          </w:tcPr>
          <w:p w:rsidR="008423E4" w:rsidRPr="00861995" w:rsidRDefault="00DF4819" w:rsidP="00DD2654">
            <w:pPr>
              <w:jc w:val="right"/>
            </w:pPr>
            <w:r>
              <w:t xml:space="preserve">By: </w:t>
            </w:r>
            <w:r>
              <w:t>Dominguez</w:t>
            </w:r>
          </w:p>
        </w:tc>
      </w:tr>
      <w:tr w:rsidR="00977D3A" w:rsidTr="00345119">
        <w:tc>
          <w:tcPr>
            <w:tcW w:w="9576" w:type="dxa"/>
          </w:tcPr>
          <w:p w:rsidR="008423E4" w:rsidRPr="00861995" w:rsidRDefault="00DF4819" w:rsidP="00345119">
            <w:pPr>
              <w:jc w:val="right"/>
            </w:pPr>
            <w:r>
              <w:t>Corrections</w:t>
            </w:r>
          </w:p>
        </w:tc>
      </w:tr>
      <w:tr w:rsidR="00977D3A" w:rsidTr="00345119">
        <w:tc>
          <w:tcPr>
            <w:tcW w:w="9576" w:type="dxa"/>
          </w:tcPr>
          <w:p w:rsidR="008423E4" w:rsidRDefault="00DF481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F4819" w:rsidP="008423E4">
      <w:pPr>
        <w:tabs>
          <w:tab w:val="right" w:pos="9360"/>
        </w:tabs>
      </w:pPr>
    </w:p>
    <w:p w:rsidR="008423E4" w:rsidRDefault="00DF4819" w:rsidP="008423E4"/>
    <w:p w:rsidR="008423E4" w:rsidRDefault="00DF481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77D3A" w:rsidTr="00345119">
        <w:tc>
          <w:tcPr>
            <w:tcW w:w="9576" w:type="dxa"/>
          </w:tcPr>
          <w:p w:rsidR="008423E4" w:rsidRPr="00A8133F" w:rsidRDefault="00DF4819" w:rsidP="002D7F0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F4819" w:rsidP="002D7F0F"/>
          <w:p w:rsidR="008423E4" w:rsidRDefault="00DF4819" w:rsidP="002D7F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Reports indicate that defendants on probation </w:t>
            </w:r>
            <w:r>
              <w:t xml:space="preserve">are at a higher risk at reoffending within the first two years of their probation. As </w:t>
            </w:r>
            <w:r>
              <w:t>such, it has been suggested that more resources should be directed toward supervising these defendants during that period as well as to</w:t>
            </w:r>
            <w:r>
              <w:t>ward</w:t>
            </w:r>
            <w:r>
              <w:t xml:space="preserve"> revis</w:t>
            </w:r>
            <w:r>
              <w:t>ing</w:t>
            </w:r>
            <w:r>
              <w:t xml:space="preserve"> existing funding structures for community </w:t>
            </w:r>
            <w:r>
              <w:t xml:space="preserve">supervision </w:t>
            </w:r>
            <w:r>
              <w:t>and corrections departments</w:t>
            </w:r>
            <w:r>
              <w:t xml:space="preserve"> (CSCD)</w:t>
            </w:r>
            <w:r>
              <w:t xml:space="preserve"> to effectively tre</w:t>
            </w:r>
            <w:r>
              <w:t xml:space="preserve">at and rehabilitate such defendants. </w:t>
            </w:r>
            <w:r>
              <w:t>C.S.</w:t>
            </w:r>
            <w:r>
              <w:t xml:space="preserve">H.B. 4044 </w:t>
            </w:r>
            <w:r>
              <w:t xml:space="preserve">seeks </w:t>
            </w:r>
            <w:r>
              <w:t xml:space="preserve">to encourage more intensive programming early in the probation term </w:t>
            </w:r>
            <w:r>
              <w:t>through the creation of an alternative funding mechanism for CSCDs</w:t>
            </w:r>
            <w:r>
              <w:t>.</w:t>
            </w:r>
          </w:p>
          <w:p w:rsidR="008423E4" w:rsidRPr="00E26B13" w:rsidRDefault="00DF4819" w:rsidP="002D7F0F">
            <w:pPr>
              <w:rPr>
                <w:b/>
              </w:rPr>
            </w:pPr>
          </w:p>
        </w:tc>
      </w:tr>
      <w:tr w:rsidR="00977D3A" w:rsidTr="00345119">
        <w:tc>
          <w:tcPr>
            <w:tcW w:w="9576" w:type="dxa"/>
          </w:tcPr>
          <w:p w:rsidR="0017725B" w:rsidRDefault="00DF4819" w:rsidP="002D7F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F4819" w:rsidP="002D7F0F">
            <w:pPr>
              <w:rPr>
                <w:b/>
                <w:u w:val="single"/>
              </w:rPr>
            </w:pPr>
          </w:p>
          <w:p w:rsidR="004E50A0" w:rsidRPr="004E50A0" w:rsidRDefault="00DF4819" w:rsidP="002D7F0F">
            <w:pPr>
              <w:jc w:val="both"/>
            </w:pPr>
            <w:r>
              <w:t>It is the committee's opinion that t</w:t>
            </w:r>
            <w:r>
              <w:t>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F4819" w:rsidP="002D7F0F">
            <w:pPr>
              <w:rPr>
                <w:b/>
                <w:u w:val="single"/>
              </w:rPr>
            </w:pPr>
          </w:p>
        </w:tc>
      </w:tr>
      <w:tr w:rsidR="00977D3A" w:rsidTr="00345119">
        <w:tc>
          <w:tcPr>
            <w:tcW w:w="9576" w:type="dxa"/>
          </w:tcPr>
          <w:p w:rsidR="008423E4" w:rsidRPr="00A8133F" w:rsidRDefault="00DF4819" w:rsidP="002D7F0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</w:t>
            </w:r>
            <w:r w:rsidRPr="009C1E9A">
              <w:rPr>
                <w:b/>
                <w:u w:val="single"/>
              </w:rPr>
              <w:t>TY</w:t>
            </w:r>
            <w:r>
              <w:rPr>
                <w:b/>
              </w:rPr>
              <w:t xml:space="preserve"> </w:t>
            </w:r>
          </w:p>
          <w:p w:rsidR="008423E4" w:rsidRDefault="00DF4819" w:rsidP="002D7F0F"/>
          <w:p w:rsidR="004E50A0" w:rsidRDefault="00DF4819" w:rsidP="002D7F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Board of Criminal Justice in SECTION 1 of this bill.</w:t>
            </w:r>
          </w:p>
          <w:p w:rsidR="008423E4" w:rsidRPr="00E21FDC" w:rsidRDefault="00DF4819" w:rsidP="002D7F0F">
            <w:pPr>
              <w:rPr>
                <w:b/>
              </w:rPr>
            </w:pPr>
          </w:p>
        </w:tc>
      </w:tr>
      <w:tr w:rsidR="00977D3A" w:rsidTr="00345119">
        <w:tc>
          <w:tcPr>
            <w:tcW w:w="9576" w:type="dxa"/>
          </w:tcPr>
          <w:p w:rsidR="008423E4" w:rsidRPr="00A8133F" w:rsidRDefault="00DF4819" w:rsidP="002D7F0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F4819" w:rsidP="002D7F0F"/>
          <w:p w:rsidR="0081746C" w:rsidRDefault="00DF4819" w:rsidP="002D7F0F">
            <w:pPr>
              <w:jc w:val="both"/>
            </w:pPr>
            <w:r>
              <w:t>C.S.</w:t>
            </w:r>
            <w:r>
              <w:t xml:space="preserve">H.B. 4044 amends the Government Code </w:t>
            </w:r>
            <w:r>
              <w:t xml:space="preserve">to </w:t>
            </w:r>
            <w:r>
              <w:t xml:space="preserve">change </w:t>
            </w:r>
            <w:r>
              <w:t xml:space="preserve">the </w:t>
            </w:r>
            <w:r>
              <w:t xml:space="preserve">felony </w:t>
            </w:r>
            <w:r>
              <w:t xml:space="preserve">defendants for whom an eligible </w:t>
            </w:r>
            <w:r w:rsidRPr="00DF38AF">
              <w:t xml:space="preserve">community supervision and corrections </w:t>
            </w:r>
            <w:r>
              <w:t xml:space="preserve">department (CSCD) is entitled to receive per capita funding </w:t>
            </w:r>
            <w:r>
              <w:t xml:space="preserve">by specifying that such </w:t>
            </w:r>
            <w:r>
              <w:t>felony defendant</w:t>
            </w:r>
            <w:r>
              <w:t xml:space="preserve">s are those who are </w:t>
            </w:r>
            <w:r>
              <w:t xml:space="preserve">supervised by the CSCD and placed on community supervision or participating in a pretrial </w:t>
            </w:r>
            <w:r>
              <w:t>diversio</w:t>
            </w:r>
            <w:r>
              <w:t xml:space="preserve">n </w:t>
            </w:r>
            <w:r>
              <w:t xml:space="preserve">or intervention program. The bill </w:t>
            </w:r>
            <w:r>
              <w:t xml:space="preserve">clarifies that </w:t>
            </w:r>
            <w:r>
              <w:t>the 182-day limitation on per capita funding for defendants supervised by the CSCD other than a felony defendant is a limitation on per capita funding for each misdemeanor defendant who is supervised by th</w:t>
            </w:r>
            <w:r>
              <w:t>e CSCD and placed on community supervision.</w:t>
            </w:r>
          </w:p>
          <w:p w:rsidR="0081746C" w:rsidRDefault="00DF4819" w:rsidP="002D7F0F">
            <w:pPr>
              <w:pStyle w:val="Header"/>
              <w:jc w:val="both"/>
            </w:pPr>
          </w:p>
          <w:p w:rsidR="00615FA5" w:rsidRDefault="00DF4819" w:rsidP="002D7F0F">
            <w:pPr>
              <w:pStyle w:val="Header"/>
              <w:jc w:val="both"/>
            </w:pPr>
            <w:r>
              <w:t>C.S.</w:t>
            </w:r>
            <w:r>
              <w:t>H.B. 4044</w:t>
            </w:r>
            <w:r>
              <w:t xml:space="preserve"> </w:t>
            </w:r>
            <w:r>
              <w:t>require</w:t>
            </w:r>
            <w:r>
              <w:t>s</w:t>
            </w:r>
            <w:r>
              <w:t xml:space="preserve"> the </w:t>
            </w:r>
            <w:r w:rsidRPr="00A07ACF">
              <w:t>community justice assistance division of the Texas Department of Criminal Justice</w:t>
            </w:r>
            <w:r>
              <w:t xml:space="preserve"> (TDCJ)</w:t>
            </w:r>
            <w:r>
              <w:t xml:space="preserve"> to </w:t>
            </w:r>
            <w:r w:rsidRPr="00A07ACF">
              <w:t xml:space="preserve">establish </w:t>
            </w:r>
            <w:r>
              <w:t xml:space="preserve">annually </w:t>
            </w:r>
            <w:r w:rsidRPr="00A07ACF">
              <w:t>a per capita funding formula to determine the percentage of the total amo</w:t>
            </w:r>
            <w:r w:rsidRPr="00A07ACF">
              <w:t xml:space="preserve">unt provided in the General Appropriations Act for </w:t>
            </w:r>
            <w:r>
              <w:t xml:space="preserve">per diem </w:t>
            </w:r>
            <w:r w:rsidRPr="00A07ACF">
              <w:t xml:space="preserve">payments </w:t>
            </w:r>
            <w:r>
              <w:t xml:space="preserve">for each </w:t>
            </w:r>
            <w:r>
              <w:t xml:space="preserve">misdemeanor and </w:t>
            </w:r>
            <w:r>
              <w:t xml:space="preserve">felony defendant who is supervised by a </w:t>
            </w:r>
            <w:r>
              <w:t>CSCD</w:t>
            </w:r>
            <w:r>
              <w:t xml:space="preserve"> </w:t>
            </w:r>
            <w:r w:rsidRPr="00A07ACF">
              <w:t xml:space="preserve">that each </w:t>
            </w:r>
            <w:r>
              <w:t xml:space="preserve">eligible </w:t>
            </w:r>
            <w:r>
              <w:t xml:space="preserve">CSCD </w:t>
            </w:r>
            <w:r w:rsidRPr="00A07ACF">
              <w:t>is entitled to receive.</w:t>
            </w:r>
            <w:r>
              <w:t xml:space="preserve"> The bill </w:t>
            </w:r>
            <w:r>
              <w:t xml:space="preserve">authorizes the Texas Board of Criminal Justice </w:t>
            </w:r>
            <w:r>
              <w:t xml:space="preserve">by rule </w:t>
            </w:r>
            <w:r>
              <w:t>to ad</w:t>
            </w:r>
            <w:r>
              <w:t xml:space="preserve">opt a policy limiting for all CSCDs the percentage of benefit or loss that may be realized as a result of the operation of </w:t>
            </w:r>
            <w:r>
              <w:t xml:space="preserve">this formula. The bill </w:t>
            </w:r>
            <w:r>
              <w:t xml:space="preserve">requires </w:t>
            </w:r>
            <w:r>
              <w:t>the formula</w:t>
            </w:r>
            <w:r>
              <w:t xml:space="preserve"> </w:t>
            </w:r>
            <w:r>
              <w:t xml:space="preserve">for a felony defendant who is placed on community supervision </w:t>
            </w:r>
            <w:r>
              <w:t>to include:</w:t>
            </w:r>
          </w:p>
          <w:p w:rsidR="00615FA5" w:rsidRDefault="00DF4819" w:rsidP="002D7F0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 higher per </w:t>
            </w:r>
            <w:r>
              <w:t>capita funding rate for the supervision of a defendant during the earliest period of the defendant's supervision than the rate for the supervision of a defendant during a later period of the defendant's supervision term;</w:t>
            </w:r>
          </w:p>
          <w:p w:rsidR="00615FA5" w:rsidRDefault="00DF4819" w:rsidP="002D7F0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provisions to decrease per capita f</w:t>
            </w:r>
            <w:r>
              <w:t>unding for each defendant supervised by a CSCD who has the defendant's supervision revoked due to a technical violation of a condition of supervision</w:t>
            </w:r>
            <w:r>
              <w:t>, as defined by the bill</w:t>
            </w:r>
            <w:r>
              <w:t>; and</w:t>
            </w:r>
          </w:p>
          <w:p w:rsidR="00615FA5" w:rsidRDefault="00DF4819" w:rsidP="00DE772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provisions to award additional per capita funding based on each defendant sup</w:t>
            </w:r>
            <w:r>
              <w:t xml:space="preserve">ervised by a CSCD who receives a discharge following an early termination of supervision. </w:t>
            </w:r>
          </w:p>
          <w:p w:rsidR="00615FA5" w:rsidRDefault="00DF4819" w:rsidP="002D7F0F">
            <w:pPr>
              <w:pStyle w:val="Header"/>
              <w:jc w:val="both"/>
            </w:pPr>
          </w:p>
          <w:p w:rsidR="00F35807" w:rsidRDefault="00DF4819" w:rsidP="002D7F0F">
            <w:pPr>
              <w:pStyle w:val="Header"/>
              <w:jc w:val="both"/>
            </w:pPr>
            <w:r>
              <w:t xml:space="preserve">C.S.H.B. </w:t>
            </w:r>
            <w:r>
              <w:t xml:space="preserve">4044 </w:t>
            </w:r>
            <w:r>
              <w:t>requires</w:t>
            </w:r>
            <w:r>
              <w:t xml:space="preserve"> </w:t>
            </w:r>
            <w:r>
              <w:t xml:space="preserve">the </w:t>
            </w:r>
            <w:r w:rsidRPr="004318BA">
              <w:t>division</w:t>
            </w:r>
            <w:r>
              <w:t>,</w:t>
            </w:r>
            <w:r>
              <w:t xml:space="preserve"> </w:t>
            </w:r>
            <w:r>
              <w:t xml:space="preserve">in </w:t>
            </w:r>
            <w:r>
              <w:t>implementing provisions relating to</w:t>
            </w:r>
            <w:r>
              <w:t xml:space="preserve"> state aid</w:t>
            </w:r>
            <w:r>
              <w:t xml:space="preserve"> </w:t>
            </w:r>
            <w:r>
              <w:t xml:space="preserve">for </w:t>
            </w:r>
            <w:r>
              <w:t xml:space="preserve">certain </w:t>
            </w:r>
            <w:r>
              <w:t>defendant</w:t>
            </w:r>
            <w:r>
              <w:t>s</w:t>
            </w:r>
            <w:r>
              <w:t xml:space="preserve"> supervised by a CSCD</w:t>
            </w:r>
            <w:r>
              <w:t xml:space="preserve"> and related services</w:t>
            </w:r>
            <w:r>
              <w:t>, to seek to a</w:t>
            </w:r>
            <w:r>
              <w:t>chieve certain specified goals regarding commitment reduction</w:t>
            </w:r>
            <w:r>
              <w:t xml:space="preserve">. The bill requires the division </w:t>
            </w:r>
            <w:r>
              <w:t xml:space="preserve">annually </w:t>
            </w:r>
            <w:r>
              <w:t xml:space="preserve">to submit </w:t>
            </w:r>
            <w:r w:rsidRPr="00C51E5D">
              <w:t>a report to the governor, lieutenant governor, speaker of the house of representatives, and each member of the legislature on the division's ef</w:t>
            </w:r>
            <w:r w:rsidRPr="00C51E5D">
              <w:t>forts</w:t>
            </w:r>
            <w:r>
              <w:t xml:space="preserve"> in </w:t>
            </w:r>
            <w:r>
              <w:t xml:space="preserve">achieving </w:t>
            </w:r>
            <w:r>
              <w:t>those goals</w:t>
            </w:r>
            <w:r>
              <w:t>, including the extent to which progress has been made toward meeting the goals</w:t>
            </w:r>
            <w:r>
              <w:t xml:space="preserve">. The bill requires the division to </w:t>
            </w:r>
            <w:r w:rsidRPr="00C51E5D">
              <w:t>establish standards related to the use of state aid for pretrial diversion programs in accordance with the goal</w:t>
            </w:r>
            <w:r w:rsidRPr="00C51E5D">
              <w:t>s</w:t>
            </w:r>
            <w:r>
              <w:t xml:space="preserve"> and authorizes the division to </w:t>
            </w:r>
            <w:r w:rsidRPr="00C51E5D">
              <w:t>discontinue the payment of state aid to a recipient under those programs on the basis of a repeated failure to achieve those goals.</w:t>
            </w:r>
            <w:r>
              <w:t xml:space="preserve"> These provision</w:t>
            </w:r>
            <w:r>
              <w:t>s</w:t>
            </w:r>
            <w:r>
              <w:t xml:space="preserve"> expire </w:t>
            </w:r>
            <w:r w:rsidRPr="00C51E5D">
              <w:t>September 1, 2023.</w:t>
            </w:r>
          </w:p>
          <w:p w:rsidR="00F35807" w:rsidRDefault="00DF4819" w:rsidP="002D7F0F">
            <w:pPr>
              <w:pStyle w:val="Header"/>
              <w:jc w:val="both"/>
            </w:pPr>
          </w:p>
          <w:p w:rsidR="008423E4" w:rsidRDefault="00DF4819" w:rsidP="002D7F0F">
            <w:pPr>
              <w:pStyle w:val="Header"/>
              <w:jc w:val="both"/>
            </w:pPr>
            <w:r>
              <w:t>C.S.</w:t>
            </w:r>
            <w:r>
              <w:t xml:space="preserve">H.B. 4044 </w:t>
            </w:r>
            <w:r>
              <w:t xml:space="preserve">requires the </w:t>
            </w:r>
            <w:r w:rsidRPr="00E774B5">
              <w:t>division</w:t>
            </w:r>
            <w:r>
              <w:t xml:space="preserve">, not </w:t>
            </w:r>
            <w:r w:rsidRPr="00E774B5">
              <w:t xml:space="preserve">later </w:t>
            </w:r>
            <w:r w:rsidRPr="00E774B5">
              <w:t>than January 1, 2020,</w:t>
            </w:r>
            <w:r>
              <w:t xml:space="preserve"> to </w:t>
            </w:r>
            <w:r w:rsidRPr="00E774B5">
              <w:t>establish the per capita funding formula</w:t>
            </w:r>
            <w:r>
              <w:t xml:space="preserve"> </w:t>
            </w:r>
            <w:r w:rsidRPr="00E774B5">
              <w:t>that is to be used for the state fiscal year beginning September 1, 2020.</w:t>
            </w:r>
            <w:r>
              <w:t xml:space="preserve"> The bill's provisions apply </w:t>
            </w:r>
            <w:r w:rsidRPr="00E774B5">
              <w:t xml:space="preserve">only to a payment based on an appropriation made for any state fiscal year beginning on </w:t>
            </w:r>
            <w:r w:rsidRPr="00E774B5">
              <w:t xml:space="preserve">or after </w:t>
            </w:r>
            <w:r>
              <w:t>that date</w:t>
            </w:r>
            <w:r w:rsidRPr="00E774B5">
              <w:t>.</w:t>
            </w:r>
            <w:r>
              <w:t xml:space="preserve">  </w:t>
            </w:r>
          </w:p>
          <w:p w:rsidR="008423E4" w:rsidRPr="00835628" w:rsidRDefault="00DF4819" w:rsidP="002D7F0F">
            <w:pPr>
              <w:rPr>
                <w:b/>
              </w:rPr>
            </w:pPr>
          </w:p>
        </w:tc>
      </w:tr>
      <w:tr w:rsidR="00977D3A" w:rsidTr="00345119">
        <w:tc>
          <w:tcPr>
            <w:tcW w:w="9576" w:type="dxa"/>
          </w:tcPr>
          <w:p w:rsidR="008423E4" w:rsidRPr="00A8133F" w:rsidRDefault="00DF4819" w:rsidP="002D7F0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F4819" w:rsidP="002D7F0F"/>
          <w:p w:rsidR="008423E4" w:rsidRPr="003624F2" w:rsidRDefault="00DF4819" w:rsidP="002D7F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E50A0">
              <w:t>September 1, 2019.</w:t>
            </w:r>
          </w:p>
          <w:p w:rsidR="008423E4" w:rsidRPr="00233FDB" w:rsidRDefault="00DF4819" w:rsidP="002D7F0F">
            <w:pPr>
              <w:rPr>
                <w:b/>
              </w:rPr>
            </w:pPr>
          </w:p>
        </w:tc>
      </w:tr>
      <w:tr w:rsidR="00977D3A" w:rsidTr="00345119">
        <w:tc>
          <w:tcPr>
            <w:tcW w:w="9576" w:type="dxa"/>
          </w:tcPr>
          <w:p w:rsidR="00DD2654" w:rsidRDefault="00DF4819" w:rsidP="002D7F0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318BA" w:rsidRDefault="00DF4819" w:rsidP="002D7F0F">
            <w:pPr>
              <w:jc w:val="both"/>
            </w:pPr>
          </w:p>
          <w:p w:rsidR="004318BA" w:rsidRDefault="00DF4819" w:rsidP="002D7F0F">
            <w:pPr>
              <w:jc w:val="both"/>
            </w:pPr>
            <w:r>
              <w:t xml:space="preserve">While C.S.H.B. 4044 may differ from the original in minor or nonsubstantive ways, the following summarizes the substantial differences between the </w:t>
            </w:r>
            <w:r>
              <w:t>introduced and committee substitute versions of the bill.</w:t>
            </w:r>
          </w:p>
          <w:p w:rsidR="004318BA" w:rsidRDefault="00DF4819" w:rsidP="002D7F0F">
            <w:pPr>
              <w:jc w:val="both"/>
            </w:pPr>
          </w:p>
          <w:p w:rsidR="0033697C" w:rsidRDefault="00DF4819" w:rsidP="002D7F0F">
            <w:pPr>
              <w:jc w:val="both"/>
            </w:pPr>
            <w:r>
              <w:t>Th</w:t>
            </w:r>
            <w:r>
              <w:t>e substitute changes the type of</w:t>
            </w:r>
            <w:r>
              <w:t xml:space="preserve"> supervised </w:t>
            </w:r>
            <w:r>
              <w:t xml:space="preserve">felony defendant for whom the bill entitles a CSCD </w:t>
            </w:r>
            <w:r>
              <w:t>to</w:t>
            </w:r>
            <w:r>
              <w:t xml:space="preserve"> per capita funding</w:t>
            </w:r>
            <w:r>
              <w:t xml:space="preserve"> if the defendant is participating in certain </w:t>
            </w:r>
            <w:r>
              <w:t xml:space="preserve">pretrial </w:t>
            </w:r>
            <w:r>
              <w:t>activity</w:t>
            </w:r>
            <w:r>
              <w:t xml:space="preserve"> from</w:t>
            </w:r>
            <w:r>
              <w:t xml:space="preserve"> such</w:t>
            </w:r>
            <w:r>
              <w:t xml:space="preserve"> a def</w:t>
            </w:r>
            <w:r>
              <w:t>endant participating in a pretrial service or intervention program to such a defendant participating in a pretrial diversion or intervention program.</w:t>
            </w:r>
          </w:p>
          <w:p w:rsidR="00365E61" w:rsidRDefault="00DF4819" w:rsidP="002D7F0F">
            <w:pPr>
              <w:jc w:val="both"/>
            </w:pPr>
          </w:p>
          <w:p w:rsidR="00B16176" w:rsidRDefault="00DF4819" w:rsidP="00DE7726">
            <w:pPr>
              <w:jc w:val="both"/>
            </w:pPr>
            <w:r>
              <w:t xml:space="preserve">The substitute </w:t>
            </w:r>
            <w:r>
              <w:t>includes temporary provision</w:t>
            </w:r>
            <w:r>
              <w:t>s, set to expire September 1, 2023:</w:t>
            </w:r>
            <w:r>
              <w:t xml:space="preserve"> </w:t>
            </w:r>
          </w:p>
          <w:p w:rsidR="00B16176" w:rsidRDefault="00DF4819" w:rsidP="002D7F0F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>requir</w:t>
            </w:r>
            <w:r>
              <w:t>ing</w:t>
            </w:r>
            <w:r>
              <w:t xml:space="preserve"> the division </w:t>
            </w:r>
            <w:r>
              <w:t>to</w:t>
            </w:r>
            <w:r>
              <w:t xml:space="preserve"> seek to achieve </w:t>
            </w:r>
            <w:r>
              <w:t xml:space="preserve">certain </w:t>
            </w:r>
            <w:r>
              <w:t xml:space="preserve">goals </w:t>
            </w:r>
            <w:r>
              <w:t xml:space="preserve">in </w:t>
            </w:r>
            <w:r>
              <w:t>implementing provisions relating to</w:t>
            </w:r>
            <w:r>
              <w:t xml:space="preserve"> state aid </w:t>
            </w:r>
            <w:r>
              <w:t xml:space="preserve">for </w:t>
            </w:r>
            <w:r>
              <w:t>certain</w:t>
            </w:r>
            <w:r>
              <w:t xml:space="preserve"> defendants </w:t>
            </w:r>
            <w:r>
              <w:t>supervised by a CSCD and related services</w:t>
            </w:r>
            <w:r>
              <w:t>;</w:t>
            </w:r>
          </w:p>
          <w:p w:rsidR="00B16176" w:rsidRDefault="00DF4819" w:rsidP="002D7F0F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>requiring the division to submit an annual report on the division's efforts in achieving those goals;</w:t>
            </w:r>
          </w:p>
          <w:p w:rsidR="00B16176" w:rsidRDefault="00DF4819" w:rsidP="002D7F0F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>requiring the division to establish standards relating to the use of state aid for pretrial diversion programs in accordance with those goals; and</w:t>
            </w:r>
          </w:p>
          <w:p w:rsidR="004318BA" w:rsidRPr="004318BA" w:rsidRDefault="00DF4819" w:rsidP="002D7F0F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 xml:space="preserve">authorizing the division to discontinue the payment </w:t>
            </w:r>
            <w:r>
              <w:t>of</w:t>
            </w:r>
            <w:r>
              <w:t xml:space="preserve"> state aid</w:t>
            </w:r>
            <w:r>
              <w:t xml:space="preserve"> for those programs</w:t>
            </w:r>
            <w:r>
              <w:t xml:space="preserve"> on the basis of a repeate</w:t>
            </w:r>
            <w:r>
              <w:t>d failure to achieve those goals</w:t>
            </w:r>
            <w:r>
              <w:t xml:space="preserve">. </w:t>
            </w:r>
          </w:p>
        </w:tc>
      </w:tr>
      <w:tr w:rsidR="00977D3A" w:rsidTr="00345119">
        <w:tc>
          <w:tcPr>
            <w:tcW w:w="9576" w:type="dxa"/>
          </w:tcPr>
          <w:p w:rsidR="00DD2654" w:rsidRPr="009C1E9A" w:rsidRDefault="00DF4819" w:rsidP="002D7F0F">
            <w:pPr>
              <w:rPr>
                <w:b/>
                <w:u w:val="single"/>
              </w:rPr>
            </w:pPr>
          </w:p>
        </w:tc>
      </w:tr>
      <w:tr w:rsidR="00977D3A" w:rsidTr="00345119">
        <w:tc>
          <w:tcPr>
            <w:tcW w:w="9576" w:type="dxa"/>
          </w:tcPr>
          <w:p w:rsidR="00DD2654" w:rsidRPr="00DD2654" w:rsidRDefault="00DF4819" w:rsidP="002D7F0F">
            <w:pPr>
              <w:jc w:val="both"/>
            </w:pPr>
          </w:p>
        </w:tc>
      </w:tr>
    </w:tbl>
    <w:p w:rsidR="008423E4" w:rsidRPr="00BE0E75" w:rsidRDefault="00DF481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F481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F4819">
      <w:r>
        <w:separator/>
      </w:r>
    </w:p>
  </w:endnote>
  <w:endnote w:type="continuationSeparator" w:id="0">
    <w:p w:rsidR="00000000" w:rsidRDefault="00DF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F48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77D3A" w:rsidTr="009C1E9A">
      <w:trPr>
        <w:cantSplit/>
      </w:trPr>
      <w:tc>
        <w:tcPr>
          <w:tcW w:w="0" w:type="pct"/>
        </w:tcPr>
        <w:p w:rsidR="00137D90" w:rsidRDefault="00DF481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F481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F481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F481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F481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77D3A" w:rsidTr="009C1E9A">
      <w:trPr>
        <w:cantSplit/>
      </w:trPr>
      <w:tc>
        <w:tcPr>
          <w:tcW w:w="0" w:type="pct"/>
        </w:tcPr>
        <w:p w:rsidR="00EC379B" w:rsidRDefault="00DF481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F481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31145</w:t>
          </w:r>
        </w:p>
      </w:tc>
      <w:tc>
        <w:tcPr>
          <w:tcW w:w="2453" w:type="pct"/>
        </w:tcPr>
        <w:p w:rsidR="00EC379B" w:rsidRDefault="00DF481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19.121.891</w:t>
          </w:r>
          <w:r>
            <w:fldChar w:fldCharType="end"/>
          </w:r>
        </w:p>
      </w:tc>
    </w:tr>
    <w:tr w:rsidR="00977D3A" w:rsidTr="009C1E9A">
      <w:trPr>
        <w:cantSplit/>
      </w:trPr>
      <w:tc>
        <w:tcPr>
          <w:tcW w:w="0" w:type="pct"/>
        </w:tcPr>
        <w:p w:rsidR="00EC379B" w:rsidRDefault="00DF481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F481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28407</w:t>
          </w:r>
        </w:p>
      </w:tc>
      <w:tc>
        <w:tcPr>
          <w:tcW w:w="2453" w:type="pct"/>
        </w:tcPr>
        <w:p w:rsidR="00EC379B" w:rsidRDefault="00DF4819" w:rsidP="006D504F">
          <w:pPr>
            <w:pStyle w:val="Footer"/>
            <w:rPr>
              <w:rStyle w:val="PageNumber"/>
            </w:rPr>
          </w:pPr>
        </w:p>
        <w:p w:rsidR="00EC379B" w:rsidRDefault="00DF481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77D3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F481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F481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F481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F4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F4819">
      <w:r>
        <w:separator/>
      </w:r>
    </w:p>
  </w:footnote>
  <w:footnote w:type="continuationSeparator" w:id="0">
    <w:p w:rsidR="00000000" w:rsidRDefault="00DF4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F48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F48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F4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4133"/>
    <w:multiLevelType w:val="hybridMultilevel"/>
    <w:tmpl w:val="0DAE22E2"/>
    <w:lvl w:ilvl="0" w:tplc="01186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AC5D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52D4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C63B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06BC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B066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A653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A52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80FB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F2976"/>
    <w:multiLevelType w:val="hybridMultilevel"/>
    <w:tmpl w:val="A83CB600"/>
    <w:lvl w:ilvl="0" w:tplc="4A3EB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E3F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3E17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0B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DEA5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DA0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4624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CD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9468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07F60"/>
    <w:multiLevelType w:val="hybridMultilevel"/>
    <w:tmpl w:val="C91A6EFE"/>
    <w:lvl w:ilvl="0" w:tplc="6F06D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A0B2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A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A84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884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D8D0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B2A5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943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E0EC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3A"/>
    <w:rsid w:val="00977D3A"/>
    <w:rsid w:val="00D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98641C-7CEE-4305-88E1-1522947E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774B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774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74B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74B5"/>
    <w:rPr>
      <w:b/>
      <w:bCs/>
    </w:rPr>
  </w:style>
  <w:style w:type="paragraph" w:styleId="ListParagraph">
    <w:name w:val="List Paragraph"/>
    <w:basedOn w:val="Normal"/>
    <w:uiPriority w:val="34"/>
    <w:qFormat/>
    <w:rsid w:val="00B16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4741</Characters>
  <Application>Microsoft Office Word</Application>
  <DocSecurity>4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HB04044 (Committee Report (Substituted))</vt:lpstr>
    </vt:vector>
  </TitlesOfParts>
  <Company>State of Texas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31145</dc:subject>
  <dc:creator>State of Texas</dc:creator>
  <dc:description>HB 4044 by Dominguez-(H)Corrections (Substitute Document Number: 86R 28407)</dc:description>
  <cp:lastModifiedBy>Scotty Wimberley</cp:lastModifiedBy>
  <cp:revision>2</cp:revision>
  <cp:lastPrinted>2003-11-26T17:21:00Z</cp:lastPrinted>
  <dcterms:created xsi:type="dcterms:W3CDTF">2019-05-06T15:34:00Z</dcterms:created>
  <dcterms:modified xsi:type="dcterms:W3CDTF">2019-05-06T15:34:00Z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19.121.891</vt:lpwstr>
  </property>
</Properties>
</file>