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1571" w:rsidTr="00345119">
        <w:tc>
          <w:tcPr>
            <w:tcW w:w="9576" w:type="dxa"/>
            <w:noWrap/>
          </w:tcPr>
          <w:p w:rsidR="008423E4" w:rsidRPr="0022177D" w:rsidRDefault="006B6F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6F75" w:rsidP="008423E4">
      <w:pPr>
        <w:jc w:val="center"/>
      </w:pPr>
    </w:p>
    <w:p w:rsidR="008423E4" w:rsidRPr="00B31F0E" w:rsidRDefault="006B6F75" w:rsidP="008423E4"/>
    <w:p w:rsidR="008423E4" w:rsidRPr="00742794" w:rsidRDefault="006B6F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1571" w:rsidTr="00345119">
        <w:tc>
          <w:tcPr>
            <w:tcW w:w="9576" w:type="dxa"/>
          </w:tcPr>
          <w:p w:rsidR="008423E4" w:rsidRPr="00861995" w:rsidRDefault="006B6F75" w:rsidP="00345119">
            <w:pPr>
              <w:jc w:val="right"/>
            </w:pPr>
            <w:r>
              <w:t>H.B. 4066</w:t>
            </w:r>
          </w:p>
        </w:tc>
      </w:tr>
      <w:tr w:rsidR="00341571" w:rsidTr="00345119">
        <w:tc>
          <w:tcPr>
            <w:tcW w:w="9576" w:type="dxa"/>
          </w:tcPr>
          <w:p w:rsidR="008423E4" w:rsidRPr="00861995" w:rsidRDefault="006B6F75" w:rsidP="008D4AB2">
            <w:pPr>
              <w:jc w:val="right"/>
            </w:pPr>
            <w:r>
              <w:t xml:space="preserve">By: </w:t>
            </w:r>
            <w:r>
              <w:t>Beckley</w:t>
            </w:r>
          </w:p>
        </w:tc>
      </w:tr>
      <w:tr w:rsidR="00341571" w:rsidTr="00345119">
        <w:tc>
          <w:tcPr>
            <w:tcW w:w="9576" w:type="dxa"/>
          </w:tcPr>
          <w:p w:rsidR="008423E4" w:rsidRPr="00861995" w:rsidRDefault="006B6F75" w:rsidP="00345119">
            <w:pPr>
              <w:jc w:val="right"/>
            </w:pPr>
            <w:r>
              <w:t>Public Health</w:t>
            </w:r>
          </w:p>
        </w:tc>
      </w:tr>
      <w:tr w:rsidR="00341571" w:rsidTr="00345119">
        <w:tc>
          <w:tcPr>
            <w:tcW w:w="9576" w:type="dxa"/>
          </w:tcPr>
          <w:p w:rsidR="008423E4" w:rsidRDefault="006B6F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B6F75" w:rsidP="008423E4">
      <w:pPr>
        <w:tabs>
          <w:tab w:val="right" w:pos="9360"/>
        </w:tabs>
      </w:pPr>
    </w:p>
    <w:p w:rsidR="008423E4" w:rsidRDefault="006B6F75" w:rsidP="008423E4"/>
    <w:p w:rsidR="008423E4" w:rsidRDefault="006B6F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1571" w:rsidTr="00345119">
        <w:tc>
          <w:tcPr>
            <w:tcW w:w="9576" w:type="dxa"/>
          </w:tcPr>
          <w:p w:rsidR="008423E4" w:rsidRPr="00A8133F" w:rsidRDefault="006B6F75" w:rsidP="00C869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6F75" w:rsidP="00C869A3"/>
          <w:p w:rsidR="008423E4" w:rsidRDefault="006B6F75" w:rsidP="00C869A3">
            <w:pPr>
              <w:pStyle w:val="Header"/>
              <w:jc w:val="both"/>
            </w:pPr>
            <w:r>
              <w:t xml:space="preserve">It has been suggested that, while </w:t>
            </w:r>
            <w:r>
              <w:t xml:space="preserve">physicians and physician assistants </w:t>
            </w:r>
            <w:r>
              <w:t>are allowed</w:t>
            </w:r>
            <w:r>
              <w:t xml:space="preserve"> to jointly own medical practices</w:t>
            </w:r>
            <w:r>
              <w:t>, physician assistants</w:t>
            </w:r>
            <w:r>
              <w:t xml:space="preserve"> are prohibited from being officers or participating in the management of these partnerships even as minority owners</w:t>
            </w:r>
            <w:r>
              <w:t xml:space="preserve"> and that removing this prohibition</w:t>
            </w:r>
            <w:r>
              <w:t xml:space="preserve"> would encourage</w:t>
            </w:r>
            <w:r>
              <w:t xml:space="preserve"> the establishment of</w:t>
            </w:r>
            <w:r>
              <w:t xml:space="preserve"> these practices where </w:t>
            </w:r>
            <w:r>
              <w:t xml:space="preserve">there is a need to </w:t>
            </w:r>
            <w:r>
              <w:t>in</w:t>
            </w:r>
            <w:r>
              <w:t>crease</w:t>
            </w:r>
            <w:r>
              <w:t xml:space="preserve"> access to service</w:t>
            </w:r>
            <w:r>
              <w:t xml:space="preserve">s. </w:t>
            </w:r>
            <w:r>
              <w:t>H.B. 4066 seeks to address this issue by repealing certain provisions</w:t>
            </w:r>
            <w:r>
              <w:t xml:space="preserve"> relating to such a prohibition</w:t>
            </w:r>
            <w:r w:rsidRPr="006250AB">
              <w:t>.</w:t>
            </w:r>
          </w:p>
          <w:p w:rsidR="008423E4" w:rsidRPr="00E26B13" w:rsidRDefault="006B6F75" w:rsidP="00C869A3">
            <w:pPr>
              <w:rPr>
                <w:b/>
              </w:rPr>
            </w:pPr>
          </w:p>
        </w:tc>
      </w:tr>
      <w:tr w:rsidR="00341571" w:rsidTr="00345119">
        <w:tc>
          <w:tcPr>
            <w:tcW w:w="9576" w:type="dxa"/>
          </w:tcPr>
          <w:p w:rsidR="0017725B" w:rsidRDefault="006B6F75" w:rsidP="00C869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6F75" w:rsidP="00C869A3">
            <w:pPr>
              <w:rPr>
                <w:b/>
                <w:u w:val="single"/>
              </w:rPr>
            </w:pPr>
          </w:p>
          <w:p w:rsidR="00C85ABF" w:rsidRPr="00C85ABF" w:rsidRDefault="006B6F75" w:rsidP="00C869A3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6B6F75" w:rsidP="00C869A3">
            <w:pPr>
              <w:rPr>
                <w:b/>
                <w:u w:val="single"/>
              </w:rPr>
            </w:pPr>
          </w:p>
        </w:tc>
      </w:tr>
      <w:tr w:rsidR="00341571" w:rsidTr="00345119">
        <w:tc>
          <w:tcPr>
            <w:tcW w:w="9576" w:type="dxa"/>
          </w:tcPr>
          <w:p w:rsidR="008423E4" w:rsidRPr="00A8133F" w:rsidRDefault="006B6F75" w:rsidP="00C869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6F75" w:rsidP="00C869A3"/>
          <w:p w:rsidR="00C85ABF" w:rsidRDefault="006B6F75" w:rsidP="00C869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6B6F75" w:rsidP="00C869A3">
            <w:pPr>
              <w:rPr>
                <w:b/>
              </w:rPr>
            </w:pPr>
          </w:p>
        </w:tc>
      </w:tr>
      <w:tr w:rsidR="00341571" w:rsidTr="00345119">
        <w:tc>
          <w:tcPr>
            <w:tcW w:w="9576" w:type="dxa"/>
          </w:tcPr>
          <w:p w:rsidR="008423E4" w:rsidRPr="00A8133F" w:rsidRDefault="006B6F75" w:rsidP="00C869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6F75" w:rsidP="00C869A3"/>
          <w:p w:rsidR="002E5D56" w:rsidRDefault="006B6F75" w:rsidP="00C869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4066 repeals provisions of the</w:t>
            </w:r>
            <w:r>
              <w:t xml:space="preserve"> Business Organizations Code that</w:t>
            </w:r>
            <w:r>
              <w:t xml:space="preserve"> prohibit a</w:t>
            </w:r>
            <w:r w:rsidRPr="002E5D56">
              <w:t xml:space="preserve"> physician assistant </w:t>
            </w:r>
            <w:r>
              <w:t>from being an officer</w:t>
            </w:r>
            <w:r>
              <w:t xml:space="preserve"> of a corporation, professional association, or limited liability company</w:t>
            </w:r>
            <w:r>
              <w:t xml:space="preserve"> </w:t>
            </w:r>
            <w:r>
              <w:t xml:space="preserve">formed by physicians and physician assistants </w:t>
            </w:r>
            <w:r w:rsidRPr="002E5D56">
              <w:t>to perform a professional service that falls within the scope of practice of those practitioners</w:t>
            </w:r>
            <w:r>
              <w:t xml:space="preserve"> or a general partner or participating i</w:t>
            </w:r>
            <w:r>
              <w:t>n the management of a partnership formed by physicians and physician assistants to perform that service.</w:t>
            </w:r>
          </w:p>
          <w:p w:rsidR="002E5D56" w:rsidRDefault="006B6F75" w:rsidP="00C869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E5D56" w:rsidRDefault="006B6F75" w:rsidP="00C869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4066 repeals the following provisions of the Business Organizations Code:</w:t>
            </w:r>
          </w:p>
          <w:p w:rsidR="002E5D56" w:rsidRDefault="006B6F75" w:rsidP="00C869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Section 22.0561(b)</w:t>
            </w:r>
          </w:p>
          <w:p w:rsidR="002E5D56" w:rsidRDefault="006B6F75" w:rsidP="00C869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2E5D56">
              <w:t xml:space="preserve">Section </w:t>
            </w:r>
            <w:r>
              <w:t>152.0551(b)</w:t>
            </w:r>
          </w:p>
          <w:p w:rsidR="008423E4" w:rsidRDefault="006B6F75" w:rsidP="00C869A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2E5D56">
              <w:t>Section 301.012(a-2)</w:t>
            </w:r>
            <w:r w:rsidRPr="00835628">
              <w:rPr>
                <w:b/>
              </w:rPr>
              <w:t xml:space="preserve"> </w:t>
            </w:r>
          </w:p>
          <w:p w:rsidR="007730C2" w:rsidRPr="00835628" w:rsidRDefault="006B6F75" w:rsidP="00C869A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41571" w:rsidTr="00345119">
        <w:tc>
          <w:tcPr>
            <w:tcW w:w="9576" w:type="dxa"/>
          </w:tcPr>
          <w:p w:rsidR="008423E4" w:rsidRPr="00A8133F" w:rsidRDefault="006B6F75" w:rsidP="00C869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6B6F75" w:rsidP="00C869A3"/>
          <w:p w:rsidR="008423E4" w:rsidRPr="003624F2" w:rsidRDefault="006B6F75" w:rsidP="00C869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B6F75" w:rsidP="00C869A3">
            <w:pPr>
              <w:rPr>
                <w:b/>
              </w:rPr>
            </w:pPr>
          </w:p>
        </w:tc>
      </w:tr>
    </w:tbl>
    <w:p w:rsidR="008423E4" w:rsidRPr="00BE0E75" w:rsidRDefault="006B6F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B6F7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6F75">
      <w:r>
        <w:separator/>
      </w:r>
    </w:p>
  </w:endnote>
  <w:endnote w:type="continuationSeparator" w:id="0">
    <w:p w:rsidR="00000000" w:rsidRDefault="006B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1571" w:rsidTr="009C1E9A">
      <w:trPr>
        <w:cantSplit/>
      </w:trPr>
      <w:tc>
        <w:tcPr>
          <w:tcW w:w="0" w:type="pct"/>
        </w:tcPr>
        <w:p w:rsidR="00137D90" w:rsidRDefault="006B6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6F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6F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6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6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571" w:rsidTr="009C1E9A">
      <w:trPr>
        <w:cantSplit/>
      </w:trPr>
      <w:tc>
        <w:tcPr>
          <w:tcW w:w="0" w:type="pct"/>
        </w:tcPr>
        <w:p w:rsidR="00EC379B" w:rsidRDefault="006B6F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6F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27443</w:t>
          </w:r>
        </w:p>
      </w:tc>
      <w:tc>
        <w:tcPr>
          <w:tcW w:w="2453" w:type="pct"/>
        </w:tcPr>
        <w:p w:rsidR="00EC379B" w:rsidRDefault="006B6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19.105.1235</w:t>
          </w:r>
          <w:r>
            <w:fldChar w:fldCharType="end"/>
          </w:r>
        </w:p>
      </w:tc>
    </w:tr>
    <w:tr w:rsidR="00341571" w:rsidTr="009C1E9A">
      <w:trPr>
        <w:cantSplit/>
      </w:trPr>
      <w:tc>
        <w:tcPr>
          <w:tcW w:w="0" w:type="pct"/>
        </w:tcPr>
        <w:p w:rsidR="00EC379B" w:rsidRDefault="006B6F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6F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B6F75" w:rsidP="006D504F">
          <w:pPr>
            <w:pStyle w:val="Footer"/>
            <w:rPr>
              <w:rStyle w:val="PageNumber"/>
            </w:rPr>
          </w:pPr>
        </w:p>
        <w:p w:rsidR="00EC379B" w:rsidRDefault="006B6F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157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6F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6F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6F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6F75">
      <w:r>
        <w:separator/>
      </w:r>
    </w:p>
  </w:footnote>
  <w:footnote w:type="continuationSeparator" w:id="0">
    <w:p w:rsidR="00000000" w:rsidRDefault="006B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B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03F3"/>
    <w:multiLevelType w:val="hybridMultilevel"/>
    <w:tmpl w:val="408CA8CA"/>
    <w:lvl w:ilvl="0" w:tplc="B90A4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0B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A4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2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6B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C7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6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E6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6A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71"/>
    <w:rsid w:val="00341571"/>
    <w:rsid w:val="006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C55BC-517F-465F-B73C-983FB07C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5A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B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1494</Characters>
  <Application>Microsoft Office Word</Application>
  <DocSecurity>4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HB04066 (Committee Report (Unamended))</vt:lpstr>
    </vt:vector>
  </TitlesOfParts>
  <Company>State of Texas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27443</dc:subject>
  <dc:creator>State of Texas</dc:creator>
  <dc:description>HB 4066 by Beckley-(H)Public Health</dc:description>
  <cp:lastModifiedBy>Scotty Wimberley</cp:lastModifiedBy>
  <cp:revision>2</cp:revision>
  <cp:lastPrinted>2003-11-26T17:21:00Z</cp:lastPrinted>
  <dcterms:created xsi:type="dcterms:W3CDTF">2019-04-26T19:04:00Z</dcterms:created>
  <dcterms:modified xsi:type="dcterms:W3CDTF">2019-04-26T19:04:00Z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19.105.1235</vt:lpwstr>
  </property>
</Properties>
</file>