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13B5" w:rsidTr="00345119">
        <w:tc>
          <w:tcPr>
            <w:tcW w:w="9576" w:type="dxa"/>
            <w:noWrap/>
          </w:tcPr>
          <w:p w:rsidR="008423E4" w:rsidRPr="0022177D" w:rsidRDefault="00BE0C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0CFA" w:rsidP="008423E4">
      <w:pPr>
        <w:jc w:val="center"/>
      </w:pPr>
    </w:p>
    <w:p w:rsidR="008423E4" w:rsidRPr="00B31F0E" w:rsidRDefault="00BE0CFA" w:rsidP="008423E4"/>
    <w:p w:rsidR="008423E4" w:rsidRPr="00742794" w:rsidRDefault="00BE0C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13B5" w:rsidTr="00345119">
        <w:tc>
          <w:tcPr>
            <w:tcW w:w="9576" w:type="dxa"/>
          </w:tcPr>
          <w:p w:rsidR="008423E4" w:rsidRPr="00861995" w:rsidRDefault="00BE0CFA" w:rsidP="0018644F">
            <w:pPr>
              <w:jc w:val="right"/>
            </w:pPr>
            <w:r>
              <w:t>C.S.H.B. 4067</w:t>
            </w:r>
          </w:p>
        </w:tc>
      </w:tr>
      <w:tr w:rsidR="00BF13B5" w:rsidTr="00345119">
        <w:tc>
          <w:tcPr>
            <w:tcW w:w="9576" w:type="dxa"/>
          </w:tcPr>
          <w:p w:rsidR="008423E4" w:rsidRPr="00861995" w:rsidRDefault="00BE0CFA" w:rsidP="00ED39D7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BF13B5" w:rsidTr="00345119">
        <w:tc>
          <w:tcPr>
            <w:tcW w:w="9576" w:type="dxa"/>
          </w:tcPr>
          <w:p w:rsidR="008423E4" w:rsidRPr="00861995" w:rsidRDefault="00BE0CFA" w:rsidP="0018644F">
            <w:pPr>
              <w:jc w:val="right"/>
            </w:pPr>
            <w:r>
              <w:t>Homeland Security &amp; Public Safety</w:t>
            </w:r>
          </w:p>
        </w:tc>
      </w:tr>
      <w:tr w:rsidR="00BF13B5" w:rsidTr="00345119">
        <w:tc>
          <w:tcPr>
            <w:tcW w:w="9576" w:type="dxa"/>
          </w:tcPr>
          <w:p w:rsidR="008423E4" w:rsidRDefault="00BE0CFA" w:rsidP="0018644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E0CFA" w:rsidP="008423E4">
      <w:pPr>
        <w:tabs>
          <w:tab w:val="right" w:pos="9360"/>
        </w:tabs>
      </w:pPr>
    </w:p>
    <w:p w:rsidR="008423E4" w:rsidRDefault="00BE0CFA" w:rsidP="008423E4"/>
    <w:p w:rsidR="008423E4" w:rsidRDefault="00BE0C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13B5" w:rsidTr="00345119">
        <w:tc>
          <w:tcPr>
            <w:tcW w:w="9576" w:type="dxa"/>
          </w:tcPr>
          <w:p w:rsidR="008423E4" w:rsidRPr="00A8133F" w:rsidRDefault="00BE0CFA" w:rsidP="006C72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0CFA" w:rsidP="006C7257"/>
          <w:p w:rsidR="008423E4" w:rsidRDefault="00BE0CFA" w:rsidP="006C7257">
            <w:pPr>
              <w:pStyle w:val="Header"/>
              <w:jc w:val="both"/>
            </w:pPr>
            <w:r>
              <w:t>It has been noted that t</w:t>
            </w:r>
            <w:r>
              <w:t xml:space="preserve">he catastrophic flood events </w:t>
            </w:r>
            <w:r>
              <w:t>that occurred in c</w:t>
            </w:r>
            <w:r>
              <w:t>entral Texas in 2018 destroyed homes</w:t>
            </w:r>
            <w:r>
              <w:t xml:space="preserve"> and</w:t>
            </w:r>
            <w:r>
              <w:t xml:space="preserve"> roads and scattered debris throughout the </w:t>
            </w:r>
            <w:r>
              <w:t>a</w:t>
            </w:r>
            <w:r>
              <w:t>ffected areas</w:t>
            </w:r>
            <w:r>
              <w:t xml:space="preserve"> and that great</w:t>
            </w:r>
            <w:r>
              <w:t xml:space="preserve"> efforts have been made to restore</w:t>
            </w:r>
            <w:r>
              <w:t xml:space="preserve"> those</w:t>
            </w:r>
            <w:r>
              <w:t xml:space="preserve"> homes and roads, as well as </w:t>
            </w:r>
            <w:r>
              <w:t xml:space="preserve">to </w:t>
            </w:r>
            <w:r>
              <w:t>remov</w:t>
            </w:r>
            <w:r>
              <w:t xml:space="preserve">e </w:t>
            </w:r>
            <w:r>
              <w:t xml:space="preserve">debris. However, </w:t>
            </w:r>
            <w:r>
              <w:t>there are</w:t>
            </w:r>
            <w:r>
              <w:t xml:space="preserve"> concerns </w:t>
            </w:r>
            <w:r>
              <w:t xml:space="preserve">regarding </w:t>
            </w:r>
            <w:r>
              <w:t xml:space="preserve">the definition of wet debris and the scope of state agency </w:t>
            </w:r>
            <w:r>
              <w:t xml:space="preserve">authority in cleaning up such debris. </w:t>
            </w:r>
            <w:r>
              <w:t>C.S.</w:t>
            </w:r>
            <w:r w:rsidRPr="0050395D">
              <w:t>H.B. 4067</w:t>
            </w:r>
            <w:r>
              <w:t xml:space="preserve"> seeks to address these concerns by </w:t>
            </w:r>
            <w:r>
              <w:t>establish</w:t>
            </w:r>
            <w:r>
              <w:t>ing</w:t>
            </w:r>
            <w:r>
              <w:t xml:space="preserve"> a </w:t>
            </w:r>
            <w:r>
              <w:t xml:space="preserve">wet debris </w:t>
            </w:r>
            <w:r>
              <w:t xml:space="preserve">work group to study </w:t>
            </w:r>
            <w:r>
              <w:t>and submit a report regarding wet debris removal.</w:t>
            </w:r>
          </w:p>
          <w:p w:rsidR="008423E4" w:rsidRPr="00E26B13" w:rsidRDefault="00BE0CFA" w:rsidP="006C7257">
            <w:pPr>
              <w:rPr>
                <w:b/>
              </w:rPr>
            </w:pPr>
          </w:p>
        </w:tc>
      </w:tr>
      <w:tr w:rsidR="00BF13B5" w:rsidTr="00345119">
        <w:tc>
          <w:tcPr>
            <w:tcW w:w="9576" w:type="dxa"/>
          </w:tcPr>
          <w:p w:rsidR="0017725B" w:rsidRDefault="00BE0CFA" w:rsidP="006C72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0CFA" w:rsidP="006C7257">
            <w:pPr>
              <w:rPr>
                <w:b/>
                <w:u w:val="single"/>
              </w:rPr>
            </w:pPr>
          </w:p>
          <w:p w:rsidR="00A26E4E" w:rsidRPr="00A26E4E" w:rsidRDefault="00BE0CFA" w:rsidP="006C7257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E0CFA" w:rsidP="006C7257">
            <w:pPr>
              <w:rPr>
                <w:b/>
                <w:u w:val="single"/>
              </w:rPr>
            </w:pPr>
          </w:p>
        </w:tc>
      </w:tr>
      <w:tr w:rsidR="00BF13B5" w:rsidTr="00345119">
        <w:tc>
          <w:tcPr>
            <w:tcW w:w="9576" w:type="dxa"/>
          </w:tcPr>
          <w:p w:rsidR="008423E4" w:rsidRPr="00A8133F" w:rsidRDefault="00BE0CFA" w:rsidP="006C72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0CFA" w:rsidP="006C7257"/>
          <w:p w:rsidR="00A26E4E" w:rsidRDefault="00BE0CFA" w:rsidP="006C72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BE0CFA" w:rsidP="006C7257">
            <w:pPr>
              <w:rPr>
                <w:b/>
              </w:rPr>
            </w:pPr>
          </w:p>
        </w:tc>
      </w:tr>
      <w:tr w:rsidR="00BF13B5" w:rsidTr="00345119">
        <w:tc>
          <w:tcPr>
            <w:tcW w:w="9576" w:type="dxa"/>
          </w:tcPr>
          <w:p w:rsidR="008423E4" w:rsidRDefault="00BE0CFA" w:rsidP="006C72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C7257" w:rsidRPr="00B35B4E" w:rsidRDefault="00BE0CFA" w:rsidP="006C7257">
            <w:pPr>
              <w:rPr>
                <w:b/>
              </w:rPr>
            </w:pPr>
          </w:p>
          <w:p w:rsidR="008C3FD9" w:rsidRDefault="00BE0CFA" w:rsidP="006C72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4067 </w:t>
            </w:r>
            <w:r>
              <w:t xml:space="preserve">amends the Government Code to </w:t>
            </w:r>
            <w:r>
              <w:t>establish</w:t>
            </w:r>
            <w:r>
              <w:t xml:space="preserve"> </w:t>
            </w:r>
            <w:r>
              <w:t xml:space="preserve">the wet debris </w:t>
            </w:r>
            <w:r>
              <w:t>work</w:t>
            </w:r>
            <w:r>
              <w:t xml:space="preserve"> group</w:t>
            </w:r>
            <w:r>
              <w:t>, con</w:t>
            </w:r>
            <w:r>
              <w:t>sisting</w:t>
            </w:r>
            <w:r>
              <w:t xml:space="preserve"> of </w:t>
            </w:r>
            <w:r>
              <w:t xml:space="preserve">at least 13 but not more than 21 </w:t>
            </w:r>
            <w:r>
              <w:t>local, state, and federal government entities and private entities</w:t>
            </w:r>
            <w:r>
              <w:t xml:space="preserve"> who are </w:t>
            </w:r>
            <w:r>
              <w:t xml:space="preserve">to be </w:t>
            </w:r>
            <w:r>
              <w:t>appointed by the governor</w:t>
            </w:r>
            <w:r>
              <w:t xml:space="preserve"> not later than November 1, 2019.</w:t>
            </w:r>
            <w:r>
              <w:t xml:space="preserve"> </w:t>
            </w:r>
            <w:r>
              <w:t xml:space="preserve">The bill sets out provisions relating to the work group's </w:t>
            </w:r>
            <w:r>
              <w:t>membership</w:t>
            </w:r>
            <w:r>
              <w:t xml:space="preserve"> and</w:t>
            </w:r>
            <w:r>
              <w:t xml:space="preserve"> the appointment of a presiding officer. The bill requires the work group </w:t>
            </w:r>
            <w:r>
              <w:t>to conduct a study</w:t>
            </w:r>
            <w:r>
              <w:t xml:space="preserve"> to:</w:t>
            </w:r>
          </w:p>
          <w:p w:rsidR="00487894" w:rsidRDefault="00BE0CFA" w:rsidP="006C725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identify:</w:t>
            </w:r>
          </w:p>
          <w:p w:rsidR="00487894" w:rsidRDefault="00BE0CFA" w:rsidP="006C725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wet debris removal categories for bodies of water in the state and the applicable laws for each category;</w:t>
            </w:r>
          </w:p>
          <w:p w:rsidR="00487894" w:rsidRDefault="00BE0CFA" w:rsidP="006C725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current jurisdictions of local, state, fede</w:t>
            </w:r>
            <w:r>
              <w:t>ral, and private entities responsible for wet debris removal;</w:t>
            </w:r>
          </w:p>
          <w:p w:rsidR="00487894" w:rsidRDefault="00BE0CFA" w:rsidP="006C725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funding sources applicable to each wet debris removal category; and</w:t>
            </w:r>
          </w:p>
          <w:p w:rsidR="00487894" w:rsidRDefault="00BE0CFA" w:rsidP="006C725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issues that impede wet debris removal; and</w:t>
            </w:r>
          </w:p>
          <w:p w:rsidR="00487894" w:rsidRDefault="00BE0CFA" w:rsidP="006C725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provide recommendations for:</w:t>
            </w:r>
          </w:p>
          <w:p w:rsidR="00487894" w:rsidRDefault="00BE0CFA" w:rsidP="006C725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minimizing impediments to wet debris removal;</w:t>
            </w:r>
          </w:p>
          <w:p w:rsidR="00487894" w:rsidRDefault="00BE0CFA" w:rsidP="006C725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clarifyi</w:t>
            </w:r>
            <w:r>
              <w:t>ng local, state, federal, and private entities' roles and responsibilities for wet debris removal; and</w:t>
            </w:r>
          </w:p>
          <w:p w:rsidR="00487894" w:rsidRDefault="00BE0CFA" w:rsidP="006C7257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educating interested persons on the results of the study.</w:t>
            </w:r>
          </w:p>
          <w:p w:rsidR="00487894" w:rsidRDefault="00BE0CFA" w:rsidP="006C72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C7257" w:rsidRDefault="00BE0CFA" w:rsidP="006C72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4189" w:rsidRDefault="00BE0CFA" w:rsidP="006C72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4067</w:t>
            </w:r>
            <w:r>
              <w:t xml:space="preserve"> </w:t>
            </w:r>
            <w:r w:rsidRPr="00F925C7">
              <w:t>requires the work group to submit</w:t>
            </w:r>
            <w:r>
              <w:t xml:space="preserve"> </w:t>
            </w:r>
            <w:r w:rsidRPr="00F925C7">
              <w:t>a report</w:t>
            </w:r>
            <w:r>
              <w:t xml:space="preserve"> with the results of the study</w:t>
            </w:r>
            <w:r w:rsidRPr="00F925C7">
              <w:t xml:space="preserve"> to members of the legislatur</w:t>
            </w:r>
            <w:r>
              <w:t>e not later than November 1, 2020. The bill's provisions expire and the work group is abolished January 1, 2021.</w:t>
            </w:r>
          </w:p>
          <w:p w:rsidR="008423E4" w:rsidRPr="00835628" w:rsidRDefault="00BE0CFA" w:rsidP="006C7257">
            <w:pPr>
              <w:rPr>
                <w:b/>
              </w:rPr>
            </w:pPr>
          </w:p>
        </w:tc>
      </w:tr>
      <w:tr w:rsidR="00BF13B5" w:rsidTr="00345119">
        <w:tc>
          <w:tcPr>
            <w:tcW w:w="9576" w:type="dxa"/>
          </w:tcPr>
          <w:p w:rsidR="008423E4" w:rsidRPr="00A8133F" w:rsidRDefault="00BE0CFA" w:rsidP="006C72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0CFA" w:rsidP="006C7257"/>
          <w:p w:rsidR="008423E4" w:rsidRPr="003624F2" w:rsidRDefault="00BE0CFA" w:rsidP="006C72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E0CFA" w:rsidP="006C7257">
            <w:pPr>
              <w:rPr>
                <w:b/>
              </w:rPr>
            </w:pPr>
          </w:p>
        </w:tc>
      </w:tr>
      <w:tr w:rsidR="00BF13B5" w:rsidTr="00345119">
        <w:tc>
          <w:tcPr>
            <w:tcW w:w="9576" w:type="dxa"/>
          </w:tcPr>
          <w:p w:rsidR="00786744" w:rsidRDefault="00BE0CFA" w:rsidP="006C725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</w:t>
            </w:r>
            <w:r>
              <w:rPr>
                <w:b/>
                <w:u w:val="single"/>
              </w:rPr>
              <w:t>N OF ORIGINAL AND SUBSTITUTE</w:t>
            </w:r>
          </w:p>
          <w:p w:rsidR="006C7257" w:rsidRPr="00786744" w:rsidRDefault="00BE0CFA" w:rsidP="006C7257">
            <w:pPr>
              <w:jc w:val="both"/>
              <w:rPr>
                <w:b/>
                <w:u w:val="single"/>
              </w:rPr>
            </w:pPr>
          </w:p>
          <w:p w:rsidR="00786744" w:rsidRDefault="00BE0CFA" w:rsidP="006C7257">
            <w:pPr>
              <w:jc w:val="both"/>
            </w:pPr>
            <w:r>
              <w:t>While C.S.H.B. 4067 may differ from the original in minor or nonsubstantive ways, the following summarizes the substantial differences between the introduced and committee substitute versions of the bill.</w:t>
            </w:r>
          </w:p>
          <w:p w:rsidR="00786744" w:rsidRDefault="00BE0CFA" w:rsidP="006C7257">
            <w:pPr>
              <w:jc w:val="both"/>
            </w:pPr>
          </w:p>
          <w:p w:rsidR="00786744" w:rsidRDefault="00BE0CFA" w:rsidP="006C7257">
            <w:pPr>
              <w:jc w:val="both"/>
            </w:pPr>
            <w:r>
              <w:t xml:space="preserve">The substitute </w:t>
            </w:r>
            <w:r>
              <w:t>revis</w:t>
            </w:r>
            <w:r>
              <w:t>es provisions relating to the composition of the work group and the required contents of the study conducted by the work group.</w:t>
            </w:r>
          </w:p>
          <w:p w:rsidR="0049314B" w:rsidRDefault="00BE0CFA" w:rsidP="006C7257">
            <w:pPr>
              <w:jc w:val="both"/>
            </w:pPr>
          </w:p>
          <w:p w:rsidR="0049314B" w:rsidRPr="00786744" w:rsidRDefault="00BE0CFA" w:rsidP="006C7257">
            <w:pPr>
              <w:jc w:val="both"/>
            </w:pPr>
            <w:r>
              <w:t>The substitute does not include the specification that the reported submitted to the legislature by the work group be a written</w:t>
            </w:r>
            <w:r>
              <w:t xml:space="preserve"> report.</w:t>
            </w:r>
          </w:p>
        </w:tc>
      </w:tr>
      <w:tr w:rsidR="00BF13B5" w:rsidTr="00345119">
        <w:tc>
          <w:tcPr>
            <w:tcW w:w="9576" w:type="dxa"/>
          </w:tcPr>
          <w:p w:rsidR="00ED39D7" w:rsidRPr="009C1E9A" w:rsidRDefault="00BE0CFA" w:rsidP="006C7257">
            <w:pPr>
              <w:rPr>
                <w:b/>
                <w:u w:val="single"/>
              </w:rPr>
            </w:pPr>
          </w:p>
        </w:tc>
      </w:tr>
      <w:tr w:rsidR="00BF13B5" w:rsidTr="00345119">
        <w:tc>
          <w:tcPr>
            <w:tcW w:w="9576" w:type="dxa"/>
          </w:tcPr>
          <w:p w:rsidR="00ED39D7" w:rsidRPr="00ED39D7" w:rsidRDefault="00BE0CFA" w:rsidP="006C7257">
            <w:pPr>
              <w:jc w:val="both"/>
            </w:pPr>
          </w:p>
        </w:tc>
      </w:tr>
    </w:tbl>
    <w:p w:rsidR="008423E4" w:rsidRPr="00BE0E75" w:rsidRDefault="00BE0C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0CF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0CFA">
      <w:r>
        <w:separator/>
      </w:r>
    </w:p>
  </w:endnote>
  <w:endnote w:type="continuationSeparator" w:id="0">
    <w:p w:rsidR="00000000" w:rsidRDefault="00BE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F" w:rsidRDefault="00BE0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13B5" w:rsidTr="009C1E9A">
      <w:trPr>
        <w:cantSplit/>
      </w:trPr>
      <w:tc>
        <w:tcPr>
          <w:tcW w:w="0" w:type="pct"/>
        </w:tcPr>
        <w:p w:rsidR="00137D90" w:rsidRDefault="00BE0C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0C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0C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0C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0C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13B5" w:rsidTr="009C1E9A">
      <w:trPr>
        <w:cantSplit/>
      </w:trPr>
      <w:tc>
        <w:tcPr>
          <w:tcW w:w="0" w:type="pct"/>
        </w:tcPr>
        <w:p w:rsidR="00EC379B" w:rsidRDefault="00BE0C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0CFA" w:rsidP="0018644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30005</w:t>
          </w:r>
        </w:p>
      </w:tc>
      <w:tc>
        <w:tcPr>
          <w:tcW w:w="2453" w:type="pct"/>
        </w:tcPr>
        <w:p w:rsidR="00EC379B" w:rsidRDefault="00BE0C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19.116.994</w:t>
          </w:r>
          <w:r>
            <w:fldChar w:fldCharType="end"/>
          </w:r>
        </w:p>
      </w:tc>
    </w:tr>
    <w:tr w:rsidR="00BF13B5" w:rsidTr="009C1E9A">
      <w:trPr>
        <w:cantSplit/>
      </w:trPr>
      <w:tc>
        <w:tcPr>
          <w:tcW w:w="0" w:type="pct"/>
        </w:tcPr>
        <w:p w:rsidR="00EC379B" w:rsidRDefault="00BE0C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0C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19880</w:t>
          </w:r>
        </w:p>
      </w:tc>
      <w:tc>
        <w:tcPr>
          <w:tcW w:w="2453" w:type="pct"/>
        </w:tcPr>
        <w:p w:rsidR="00EC379B" w:rsidRDefault="00BE0CFA" w:rsidP="006D504F">
          <w:pPr>
            <w:pStyle w:val="Footer"/>
            <w:rPr>
              <w:rStyle w:val="PageNumber"/>
            </w:rPr>
          </w:pPr>
        </w:p>
        <w:p w:rsidR="00EC379B" w:rsidRDefault="00BE0C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13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0C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E0C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0C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F" w:rsidRDefault="00BE0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0CFA">
      <w:r>
        <w:separator/>
      </w:r>
    </w:p>
  </w:footnote>
  <w:footnote w:type="continuationSeparator" w:id="0">
    <w:p w:rsidR="00000000" w:rsidRDefault="00BE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F" w:rsidRDefault="00BE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F" w:rsidRDefault="00BE0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F" w:rsidRDefault="00BE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C03"/>
    <w:multiLevelType w:val="hybridMultilevel"/>
    <w:tmpl w:val="01E055D4"/>
    <w:lvl w:ilvl="0" w:tplc="8A961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83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44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C6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83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23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C0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A1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2C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613D"/>
    <w:multiLevelType w:val="hybridMultilevel"/>
    <w:tmpl w:val="4DCACE5A"/>
    <w:lvl w:ilvl="0" w:tplc="E0DA8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6D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84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2D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2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EE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89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6F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8F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E6C"/>
    <w:multiLevelType w:val="hybridMultilevel"/>
    <w:tmpl w:val="FB36CA7E"/>
    <w:lvl w:ilvl="0" w:tplc="1A0821EA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6124FACA" w:tentative="1">
      <w:start w:val="1"/>
      <w:numFmt w:val="lowerLetter"/>
      <w:lvlText w:val="%2."/>
      <w:lvlJc w:val="left"/>
      <w:pPr>
        <w:ind w:left="1440" w:hanging="360"/>
      </w:pPr>
    </w:lvl>
    <w:lvl w:ilvl="2" w:tplc="D6762902" w:tentative="1">
      <w:start w:val="1"/>
      <w:numFmt w:val="lowerRoman"/>
      <w:lvlText w:val="%3."/>
      <w:lvlJc w:val="right"/>
      <w:pPr>
        <w:ind w:left="2160" w:hanging="180"/>
      </w:pPr>
    </w:lvl>
    <w:lvl w:ilvl="3" w:tplc="78DADF36" w:tentative="1">
      <w:start w:val="1"/>
      <w:numFmt w:val="decimal"/>
      <w:lvlText w:val="%4."/>
      <w:lvlJc w:val="left"/>
      <w:pPr>
        <w:ind w:left="2880" w:hanging="360"/>
      </w:pPr>
    </w:lvl>
    <w:lvl w:ilvl="4" w:tplc="93F45D08" w:tentative="1">
      <w:start w:val="1"/>
      <w:numFmt w:val="lowerLetter"/>
      <w:lvlText w:val="%5."/>
      <w:lvlJc w:val="left"/>
      <w:pPr>
        <w:ind w:left="3600" w:hanging="360"/>
      </w:pPr>
    </w:lvl>
    <w:lvl w:ilvl="5" w:tplc="75CA66FE" w:tentative="1">
      <w:start w:val="1"/>
      <w:numFmt w:val="lowerRoman"/>
      <w:lvlText w:val="%6."/>
      <w:lvlJc w:val="right"/>
      <w:pPr>
        <w:ind w:left="4320" w:hanging="180"/>
      </w:pPr>
    </w:lvl>
    <w:lvl w:ilvl="6" w:tplc="96140AE0" w:tentative="1">
      <w:start w:val="1"/>
      <w:numFmt w:val="decimal"/>
      <w:lvlText w:val="%7."/>
      <w:lvlJc w:val="left"/>
      <w:pPr>
        <w:ind w:left="5040" w:hanging="360"/>
      </w:pPr>
    </w:lvl>
    <w:lvl w:ilvl="7" w:tplc="74E27068" w:tentative="1">
      <w:start w:val="1"/>
      <w:numFmt w:val="lowerLetter"/>
      <w:lvlText w:val="%8."/>
      <w:lvlJc w:val="left"/>
      <w:pPr>
        <w:ind w:left="5760" w:hanging="360"/>
      </w:pPr>
    </w:lvl>
    <w:lvl w:ilvl="8" w:tplc="DD5491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B5"/>
    <w:rsid w:val="00BE0CFA"/>
    <w:rsid w:val="00B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ECECC-29D7-4AFD-B626-6D5BEF2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1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4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41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2564</Characters>
  <Application>Microsoft Office Word</Application>
  <DocSecurity>4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HB04067 (Committee Report (Substituted))</vt:lpstr>
    </vt:vector>
  </TitlesOfParts>
  <Company>State of Texas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30005</dc:subject>
  <dc:creator>State of Texas</dc:creator>
  <dc:description>HB 4067 by Murr-(H)Homeland Security &amp; Public Safety (Substitute Document Number: 86R 19880)</dc:description>
  <cp:lastModifiedBy>Stacey Nicchio</cp:lastModifiedBy>
  <cp:revision>2</cp:revision>
  <cp:lastPrinted>2003-11-26T17:21:00Z</cp:lastPrinted>
  <dcterms:created xsi:type="dcterms:W3CDTF">2019-04-29T23:58:00Z</dcterms:created>
  <dcterms:modified xsi:type="dcterms:W3CDTF">2019-04-29T23:58:00Z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19.116.994</vt:lpwstr>
  </property>
</Properties>
</file>