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22C3" w:rsidTr="00345119">
        <w:tc>
          <w:tcPr>
            <w:tcW w:w="9576" w:type="dxa"/>
            <w:noWrap/>
          </w:tcPr>
          <w:p w:rsidR="008423E4" w:rsidRPr="0022177D" w:rsidRDefault="00B867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67E2" w:rsidP="008423E4">
      <w:pPr>
        <w:jc w:val="center"/>
      </w:pPr>
    </w:p>
    <w:p w:rsidR="008423E4" w:rsidRPr="00B31F0E" w:rsidRDefault="00B867E2" w:rsidP="008423E4"/>
    <w:p w:rsidR="008423E4" w:rsidRPr="00742794" w:rsidRDefault="00B867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22C3" w:rsidTr="00345119">
        <w:tc>
          <w:tcPr>
            <w:tcW w:w="9576" w:type="dxa"/>
          </w:tcPr>
          <w:p w:rsidR="008423E4" w:rsidRPr="00861995" w:rsidRDefault="00B867E2" w:rsidP="00345119">
            <w:pPr>
              <w:jc w:val="right"/>
            </w:pPr>
            <w:r>
              <w:t>H.B. 4071</w:t>
            </w:r>
          </w:p>
        </w:tc>
      </w:tr>
      <w:tr w:rsidR="004622C3" w:rsidTr="00345119">
        <w:tc>
          <w:tcPr>
            <w:tcW w:w="9576" w:type="dxa"/>
          </w:tcPr>
          <w:p w:rsidR="008423E4" w:rsidRPr="00861995" w:rsidRDefault="00B867E2" w:rsidP="00762595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4622C3" w:rsidTr="00345119">
        <w:tc>
          <w:tcPr>
            <w:tcW w:w="9576" w:type="dxa"/>
          </w:tcPr>
          <w:p w:rsidR="008423E4" w:rsidRPr="00861995" w:rsidRDefault="00B867E2" w:rsidP="00345119">
            <w:pPr>
              <w:jc w:val="right"/>
            </w:pPr>
            <w:r>
              <w:t>Appropriations</w:t>
            </w:r>
          </w:p>
        </w:tc>
      </w:tr>
      <w:tr w:rsidR="004622C3" w:rsidTr="00345119">
        <w:tc>
          <w:tcPr>
            <w:tcW w:w="9576" w:type="dxa"/>
          </w:tcPr>
          <w:p w:rsidR="008423E4" w:rsidRDefault="00B867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67E2" w:rsidP="008423E4">
      <w:pPr>
        <w:tabs>
          <w:tab w:val="right" w:pos="9360"/>
        </w:tabs>
      </w:pPr>
    </w:p>
    <w:p w:rsidR="008423E4" w:rsidRDefault="00B867E2" w:rsidP="008423E4"/>
    <w:p w:rsidR="008423E4" w:rsidRDefault="00B867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22C3" w:rsidTr="00345119">
        <w:tc>
          <w:tcPr>
            <w:tcW w:w="9576" w:type="dxa"/>
          </w:tcPr>
          <w:p w:rsidR="008423E4" w:rsidRPr="00A8133F" w:rsidRDefault="00B867E2" w:rsidP="007D2C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67E2" w:rsidP="007D2C19"/>
          <w:p w:rsidR="008423E4" w:rsidRDefault="00B867E2" w:rsidP="007D2C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46CAA">
              <w:t xml:space="preserve">At the conclusion of each biennium, the state has a number of outstanding claims and judgments against it for varying amounts of money, </w:t>
            </w:r>
            <w:r w:rsidRPr="00C46CAA">
              <w:t>such as warrants voided by the statute of limitations, outstanding invoices to private vendors, unpaid charges for Medicaid recipients, or court judgment settlements. These claims</w:t>
            </w:r>
            <w:r>
              <w:t xml:space="preserve"> </w:t>
            </w:r>
            <w:r w:rsidRPr="00C46CAA">
              <w:t xml:space="preserve">require additional appropriations to be made </w:t>
            </w:r>
            <w:r>
              <w:t>in order to pay and</w:t>
            </w:r>
            <w:r w:rsidRPr="00C46CAA">
              <w:t xml:space="preserve"> honor the s</w:t>
            </w:r>
            <w:r w:rsidRPr="00C46CAA">
              <w:t xml:space="preserve">tate's obligations under the law. H.B. 4071 </w:t>
            </w:r>
            <w:r>
              <w:t xml:space="preserve">seeks to </w:t>
            </w:r>
            <w:r w:rsidRPr="00C46CAA">
              <w:t xml:space="preserve">provide </w:t>
            </w:r>
            <w:r>
              <w:t>for the payment of these claims.</w:t>
            </w:r>
          </w:p>
          <w:p w:rsidR="008423E4" w:rsidRPr="00E26B13" w:rsidRDefault="00B867E2" w:rsidP="007D2C19">
            <w:pPr>
              <w:rPr>
                <w:b/>
              </w:rPr>
            </w:pPr>
          </w:p>
        </w:tc>
      </w:tr>
      <w:tr w:rsidR="004622C3" w:rsidTr="00345119">
        <w:tc>
          <w:tcPr>
            <w:tcW w:w="9576" w:type="dxa"/>
          </w:tcPr>
          <w:p w:rsidR="0017725B" w:rsidRDefault="00B867E2" w:rsidP="007D2C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67E2" w:rsidP="007D2C19">
            <w:pPr>
              <w:rPr>
                <w:b/>
                <w:u w:val="single"/>
              </w:rPr>
            </w:pPr>
          </w:p>
          <w:p w:rsidR="009B52E5" w:rsidRPr="009B52E5" w:rsidRDefault="00B867E2" w:rsidP="007D2C19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B867E2" w:rsidP="007D2C19">
            <w:pPr>
              <w:rPr>
                <w:b/>
                <w:u w:val="single"/>
              </w:rPr>
            </w:pPr>
          </w:p>
        </w:tc>
      </w:tr>
      <w:tr w:rsidR="004622C3" w:rsidTr="00345119">
        <w:tc>
          <w:tcPr>
            <w:tcW w:w="9576" w:type="dxa"/>
          </w:tcPr>
          <w:p w:rsidR="008423E4" w:rsidRPr="00A8133F" w:rsidRDefault="00B867E2" w:rsidP="007D2C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67E2" w:rsidP="007D2C19"/>
          <w:p w:rsidR="009B52E5" w:rsidRDefault="00B867E2" w:rsidP="007D2C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B867E2" w:rsidP="007D2C19">
            <w:pPr>
              <w:rPr>
                <w:b/>
              </w:rPr>
            </w:pPr>
          </w:p>
        </w:tc>
      </w:tr>
      <w:tr w:rsidR="004622C3" w:rsidTr="00345119">
        <w:tc>
          <w:tcPr>
            <w:tcW w:w="9576" w:type="dxa"/>
          </w:tcPr>
          <w:p w:rsidR="008423E4" w:rsidRPr="00A8133F" w:rsidRDefault="00B867E2" w:rsidP="007D2C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67E2" w:rsidP="007D2C19"/>
          <w:p w:rsidR="001807BF" w:rsidRDefault="00B867E2" w:rsidP="007D2C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4071 </w:t>
            </w:r>
            <w:r w:rsidRPr="00A649C7">
              <w:t>appropriates certain sums of money for payment of itemized claims and judgments plus interest, if any, against the State of Texas out of the</w:t>
            </w:r>
            <w:r>
              <w:t xml:space="preserve"> following funds and accounts: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A649C7">
              <w:t>general</w:t>
            </w:r>
            <w:r>
              <w:t xml:space="preserve"> revenue fund;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649C7">
              <w:t>the state highway</w:t>
            </w:r>
            <w:r>
              <w:t xml:space="preserve"> fund;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Texas Commission on Law Enforcement general revenue account;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water resource management general revenue account;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>federal civil defense and disaster relief general r</w:t>
            </w:r>
            <w:r w:rsidRPr="00A649C7">
              <w:t xml:space="preserve">evenue </w:t>
            </w:r>
            <w:r>
              <w:t>a</w:t>
            </w:r>
            <w:r w:rsidRPr="00A649C7">
              <w:t>ccount</w:t>
            </w:r>
            <w:r>
              <w:t>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>veterans financial assistance program fund</w:t>
            </w:r>
            <w:r>
              <w:t>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649C7">
              <w:t>the hazardous and solid waste remediation fees ge</w:t>
            </w:r>
            <w:r>
              <w:t>neral revenue account;</w:t>
            </w:r>
          </w:p>
          <w:p w:rsidR="001807BF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649C7">
              <w:t>the unemployment</w:t>
            </w:r>
            <w:r>
              <w:t xml:space="preserve"> compensation clearance account</w:t>
            </w:r>
            <w:r>
              <w:t xml:space="preserve">; </w:t>
            </w:r>
            <w:r>
              <w:t>and</w:t>
            </w:r>
          </w:p>
          <w:p w:rsidR="008423E4" w:rsidRDefault="00B867E2" w:rsidP="007D2C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>
              <w:t>lottery general revenue account</w:t>
            </w:r>
            <w:r>
              <w:t>.</w:t>
            </w:r>
          </w:p>
          <w:p w:rsidR="00A957E4" w:rsidRDefault="00B867E2" w:rsidP="007D2C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957E4" w:rsidRDefault="00B867E2" w:rsidP="007D2C19">
            <w:pPr>
              <w:pStyle w:val="Header"/>
              <w:jc w:val="both"/>
            </w:pPr>
            <w:r>
              <w:t xml:space="preserve">H.B. 4071 </w:t>
            </w:r>
            <w:r>
              <w:t>provides for the ad</w:t>
            </w:r>
            <w:r>
              <w:t>ministration of those payments.</w:t>
            </w:r>
          </w:p>
          <w:p w:rsidR="008423E4" w:rsidRPr="00835628" w:rsidRDefault="00B867E2" w:rsidP="007D2C19">
            <w:pPr>
              <w:rPr>
                <w:b/>
              </w:rPr>
            </w:pPr>
          </w:p>
        </w:tc>
      </w:tr>
      <w:tr w:rsidR="004622C3" w:rsidTr="00345119">
        <w:tc>
          <w:tcPr>
            <w:tcW w:w="9576" w:type="dxa"/>
          </w:tcPr>
          <w:p w:rsidR="008423E4" w:rsidRPr="00A8133F" w:rsidRDefault="00B867E2" w:rsidP="007D2C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67E2" w:rsidP="007D2C19"/>
          <w:p w:rsidR="008423E4" w:rsidRPr="00233FDB" w:rsidRDefault="00B867E2" w:rsidP="007D2C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7947B6" w:rsidRDefault="00B867E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B867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7E2">
      <w:r>
        <w:separator/>
      </w:r>
    </w:p>
  </w:endnote>
  <w:endnote w:type="continuationSeparator" w:id="0">
    <w:p w:rsidR="00000000" w:rsidRDefault="00B8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22C3" w:rsidTr="009C1E9A">
      <w:trPr>
        <w:cantSplit/>
      </w:trPr>
      <w:tc>
        <w:tcPr>
          <w:tcW w:w="0" w:type="pct"/>
        </w:tcPr>
        <w:p w:rsidR="00137D90" w:rsidRDefault="00B867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67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67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67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6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2C3" w:rsidTr="009C1E9A">
      <w:trPr>
        <w:cantSplit/>
      </w:trPr>
      <w:tc>
        <w:tcPr>
          <w:tcW w:w="0" w:type="pct"/>
        </w:tcPr>
        <w:p w:rsidR="00EC379B" w:rsidRDefault="00B867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67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24394</w:t>
          </w:r>
        </w:p>
      </w:tc>
      <w:tc>
        <w:tcPr>
          <w:tcW w:w="2453" w:type="pct"/>
        </w:tcPr>
        <w:p w:rsidR="00EC379B" w:rsidRDefault="00B86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19.95.727</w:t>
          </w:r>
          <w:r>
            <w:fldChar w:fldCharType="end"/>
          </w:r>
        </w:p>
      </w:tc>
    </w:tr>
    <w:tr w:rsidR="004622C3" w:rsidTr="009C1E9A">
      <w:trPr>
        <w:cantSplit/>
      </w:trPr>
      <w:tc>
        <w:tcPr>
          <w:tcW w:w="0" w:type="pct"/>
        </w:tcPr>
        <w:p w:rsidR="00EC379B" w:rsidRDefault="00B867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67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67E2" w:rsidP="006D504F">
          <w:pPr>
            <w:pStyle w:val="Footer"/>
            <w:rPr>
              <w:rStyle w:val="PageNumber"/>
            </w:rPr>
          </w:pPr>
        </w:p>
        <w:p w:rsidR="00EC379B" w:rsidRDefault="00B86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2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67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67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67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67E2">
      <w:r>
        <w:separator/>
      </w:r>
    </w:p>
  </w:footnote>
  <w:footnote w:type="continuationSeparator" w:id="0">
    <w:p w:rsidR="00000000" w:rsidRDefault="00B8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AB8"/>
    <w:multiLevelType w:val="hybridMultilevel"/>
    <w:tmpl w:val="FD38E036"/>
    <w:lvl w:ilvl="0" w:tplc="882A2B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71471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1C647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61620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543AC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2AC84A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EA8C06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A684E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A3E037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3"/>
    <w:rsid w:val="004622C3"/>
    <w:rsid w:val="00B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30CB7-6AC9-4773-A13E-5B4ED73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52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2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1548</Characters>
  <Application>Microsoft Office Word</Application>
  <DocSecurity>4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HB04071 (Committee Report (Unamended))</vt:lpstr>
    </vt:vector>
  </TitlesOfParts>
  <Company>State of Texas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24394</dc:subject>
  <dc:creator>State of Texas</dc:creator>
  <dc:description>HB 4071 by Longoria-(H)Appropriations</dc:description>
  <cp:lastModifiedBy>Scotty Wimberley</cp:lastModifiedBy>
  <cp:revision>2</cp:revision>
  <cp:lastPrinted>2003-11-26T17:21:00Z</cp:lastPrinted>
  <dcterms:created xsi:type="dcterms:W3CDTF">2019-04-11T15:38:00Z</dcterms:created>
  <dcterms:modified xsi:type="dcterms:W3CDTF">2019-04-11T15:38:00Z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19.95.727</vt:lpwstr>
  </property>
</Properties>
</file>