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C6337" w:rsidTr="00345119">
        <w:tc>
          <w:tcPr>
            <w:tcW w:w="9576" w:type="dxa"/>
            <w:noWrap/>
          </w:tcPr>
          <w:p w:rsidR="008423E4" w:rsidRPr="0022177D" w:rsidRDefault="00BE21A3" w:rsidP="00345119">
            <w:pPr>
              <w:pStyle w:val="Heading1"/>
            </w:pPr>
            <w:bookmarkStart w:id="0" w:name="_GoBack"/>
            <w:bookmarkEnd w:id="0"/>
            <w:r w:rsidRPr="00631897">
              <w:t>BILL ANALYSIS</w:t>
            </w:r>
          </w:p>
        </w:tc>
      </w:tr>
    </w:tbl>
    <w:p w:rsidR="008423E4" w:rsidRPr="0022177D" w:rsidRDefault="00BE21A3" w:rsidP="008423E4">
      <w:pPr>
        <w:jc w:val="center"/>
      </w:pPr>
    </w:p>
    <w:p w:rsidR="008423E4" w:rsidRPr="00B31F0E" w:rsidRDefault="00BE21A3" w:rsidP="008423E4"/>
    <w:p w:rsidR="008423E4" w:rsidRPr="00742794" w:rsidRDefault="00BE21A3" w:rsidP="008423E4">
      <w:pPr>
        <w:tabs>
          <w:tab w:val="right" w:pos="9360"/>
        </w:tabs>
      </w:pPr>
    </w:p>
    <w:tbl>
      <w:tblPr>
        <w:tblW w:w="0" w:type="auto"/>
        <w:tblLayout w:type="fixed"/>
        <w:tblLook w:val="01E0" w:firstRow="1" w:lastRow="1" w:firstColumn="1" w:lastColumn="1" w:noHBand="0" w:noVBand="0"/>
      </w:tblPr>
      <w:tblGrid>
        <w:gridCol w:w="9576"/>
      </w:tblGrid>
      <w:tr w:rsidR="00BC6337" w:rsidTr="00345119">
        <w:tc>
          <w:tcPr>
            <w:tcW w:w="9576" w:type="dxa"/>
          </w:tcPr>
          <w:p w:rsidR="008423E4" w:rsidRPr="00861995" w:rsidRDefault="00BE21A3" w:rsidP="00345119">
            <w:pPr>
              <w:jc w:val="right"/>
            </w:pPr>
            <w:r>
              <w:t>C.S.H.B. 4086</w:t>
            </w:r>
          </w:p>
        </w:tc>
      </w:tr>
      <w:tr w:rsidR="00BC6337" w:rsidTr="00345119">
        <w:tc>
          <w:tcPr>
            <w:tcW w:w="9576" w:type="dxa"/>
          </w:tcPr>
          <w:p w:rsidR="008423E4" w:rsidRPr="00861995" w:rsidRDefault="00BE21A3" w:rsidP="00D41006">
            <w:pPr>
              <w:jc w:val="right"/>
            </w:pPr>
            <w:r>
              <w:t xml:space="preserve">By: </w:t>
            </w:r>
            <w:r>
              <w:t>Sanford</w:t>
            </w:r>
          </w:p>
        </w:tc>
      </w:tr>
      <w:tr w:rsidR="00BC6337" w:rsidTr="00345119">
        <w:tc>
          <w:tcPr>
            <w:tcW w:w="9576" w:type="dxa"/>
          </w:tcPr>
          <w:p w:rsidR="008423E4" w:rsidRPr="00861995" w:rsidRDefault="00BE21A3" w:rsidP="00345119">
            <w:pPr>
              <w:jc w:val="right"/>
            </w:pPr>
            <w:r>
              <w:t>Pensions, Investments &amp; Financial Services</w:t>
            </w:r>
          </w:p>
        </w:tc>
      </w:tr>
      <w:tr w:rsidR="00BC6337" w:rsidTr="00345119">
        <w:tc>
          <w:tcPr>
            <w:tcW w:w="9576" w:type="dxa"/>
          </w:tcPr>
          <w:p w:rsidR="008423E4" w:rsidRDefault="00BE21A3" w:rsidP="00345119">
            <w:pPr>
              <w:jc w:val="right"/>
            </w:pPr>
            <w:r>
              <w:t>Committee Report (Substituted)</w:t>
            </w:r>
          </w:p>
        </w:tc>
      </w:tr>
    </w:tbl>
    <w:p w:rsidR="008423E4" w:rsidRDefault="00BE21A3" w:rsidP="008423E4">
      <w:pPr>
        <w:tabs>
          <w:tab w:val="right" w:pos="9360"/>
        </w:tabs>
      </w:pPr>
    </w:p>
    <w:p w:rsidR="008423E4" w:rsidRDefault="00BE21A3" w:rsidP="008423E4"/>
    <w:p w:rsidR="008423E4" w:rsidRDefault="00BE21A3" w:rsidP="008423E4"/>
    <w:tbl>
      <w:tblPr>
        <w:tblW w:w="0" w:type="auto"/>
        <w:tblCellMar>
          <w:left w:w="115" w:type="dxa"/>
          <w:right w:w="115" w:type="dxa"/>
        </w:tblCellMar>
        <w:tblLook w:val="01E0" w:firstRow="1" w:lastRow="1" w:firstColumn="1" w:lastColumn="1" w:noHBand="0" w:noVBand="0"/>
      </w:tblPr>
      <w:tblGrid>
        <w:gridCol w:w="9576"/>
      </w:tblGrid>
      <w:tr w:rsidR="00BC6337" w:rsidTr="00345119">
        <w:tc>
          <w:tcPr>
            <w:tcW w:w="9576" w:type="dxa"/>
          </w:tcPr>
          <w:p w:rsidR="008423E4" w:rsidRPr="00A8133F" w:rsidRDefault="00BE21A3" w:rsidP="00E121C3">
            <w:pPr>
              <w:rPr>
                <w:b/>
              </w:rPr>
            </w:pPr>
            <w:r w:rsidRPr="009C1E9A">
              <w:rPr>
                <w:b/>
                <w:u w:val="single"/>
              </w:rPr>
              <w:t>BACKGROUND AND PURPOSE</w:t>
            </w:r>
            <w:r>
              <w:rPr>
                <w:b/>
              </w:rPr>
              <w:t xml:space="preserve"> </w:t>
            </w:r>
          </w:p>
          <w:p w:rsidR="008423E4" w:rsidRDefault="00BE21A3" w:rsidP="00E121C3"/>
          <w:p w:rsidR="008423E4" w:rsidRDefault="00BE21A3" w:rsidP="00E121C3">
            <w:pPr>
              <w:pStyle w:val="Header"/>
              <w:jc w:val="both"/>
            </w:pPr>
            <w:r>
              <w:t xml:space="preserve">It has been </w:t>
            </w:r>
            <w:r>
              <w:t>noted</w:t>
            </w:r>
            <w:r>
              <w:t xml:space="preserve"> that </w:t>
            </w:r>
            <w:r>
              <w:t>p</w:t>
            </w:r>
            <w:r>
              <w:t xml:space="preserve">rivate activity bond financing is a critical financing tool for infrastructure, </w:t>
            </w:r>
            <w:r>
              <w:t>student loan</w:t>
            </w:r>
            <w:r>
              <w:t>s</w:t>
            </w:r>
            <w:r>
              <w:t>, and residential rental housing</w:t>
            </w:r>
            <w:r>
              <w:t xml:space="preserve"> </w:t>
            </w:r>
            <w:r>
              <w:t xml:space="preserve">in Texas. </w:t>
            </w:r>
            <w:r>
              <w:t xml:space="preserve">It has been suggested that </w:t>
            </w:r>
            <w:r>
              <w:t>p</w:t>
            </w:r>
            <w:r>
              <w:t>artial funding of private activity bonds</w:t>
            </w:r>
            <w:r>
              <w:t>, a practice allowed in other states,</w:t>
            </w:r>
            <w:r>
              <w:t xml:space="preserve"> </w:t>
            </w:r>
            <w:r>
              <w:t xml:space="preserve">should be </w:t>
            </w:r>
            <w:r>
              <w:t xml:space="preserve">allowed </w:t>
            </w:r>
            <w:r>
              <w:t xml:space="preserve">in Texas </w:t>
            </w:r>
            <w:r>
              <w:t xml:space="preserve">because interest is paid only on the amount funded, thereby making </w:t>
            </w:r>
            <w:r>
              <w:t>the loan less costly and more efficient</w:t>
            </w:r>
            <w:r>
              <w:t xml:space="preserve"> and </w:t>
            </w:r>
            <w:r>
              <w:t xml:space="preserve">allowing more of the bond proceeds to be used for </w:t>
            </w:r>
            <w:r>
              <w:t xml:space="preserve">other expenses, such as </w:t>
            </w:r>
            <w:r>
              <w:t>actual construction costs</w:t>
            </w:r>
            <w:r>
              <w:t xml:space="preserve"> in a construction project</w:t>
            </w:r>
            <w:r>
              <w:t xml:space="preserve">. </w:t>
            </w:r>
            <w:r>
              <w:t>C.S.</w:t>
            </w:r>
            <w:r>
              <w:t>H</w:t>
            </w:r>
            <w:r>
              <w:t>.</w:t>
            </w:r>
            <w:r>
              <w:t>B</w:t>
            </w:r>
            <w:r>
              <w:t>.</w:t>
            </w:r>
            <w:r>
              <w:t xml:space="preserve"> 4086</w:t>
            </w:r>
            <w:r>
              <w:t xml:space="preserve"> seeks to </w:t>
            </w:r>
            <w:r>
              <w:t>provide for this partial funding</w:t>
            </w:r>
            <w:r>
              <w:t xml:space="preserve"> by </w:t>
            </w:r>
            <w:r>
              <w:t>revising</w:t>
            </w:r>
            <w:r>
              <w:t xml:space="preserve"> the</w:t>
            </w:r>
            <w:r>
              <w:t xml:space="preserve"> defin</w:t>
            </w:r>
            <w:r>
              <w:t>ition of</w:t>
            </w:r>
            <w:r>
              <w:t xml:space="preserve"> </w:t>
            </w:r>
            <w:r>
              <w:t>"c</w:t>
            </w:r>
            <w:r>
              <w:t>losing</w:t>
            </w:r>
            <w:r>
              <w:t xml:space="preserve">" for purposes of </w:t>
            </w:r>
            <w:r>
              <w:t xml:space="preserve">statutory </w:t>
            </w:r>
            <w:r>
              <w:t xml:space="preserve">provisions relating to </w:t>
            </w:r>
            <w:r>
              <w:t xml:space="preserve">private activity bonds. </w:t>
            </w:r>
          </w:p>
          <w:p w:rsidR="008423E4" w:rsidRPr="00E26B13" w:rsidRDefault="00BE21A3" w:rsidP="00E121C3">
            <w:pPr>
              <w:rPr>
                <w:b/>
              </w:rPr>
            </w:pPr>
          </w:p>
        </w:tc>
      </w:tr>
      <w:tr w:rsidR="00BC6337" w:rsidTr="00345119">
        <w:tc>
          <w:tcPr>
            <w:tcW w:w="9576" w:type="dxa"/>
          </w:tcPr>
          <w:p w:rsidR="0017725B" w:rsidRDefault="00BE21A3" w:rsidP="00E121C3">
            <w:pPr>
              <w:rPr>
                <w:b/>
                <w:u w:val="single"/>
              </w:rPr>
            </w:pPr>
            <w:r>
              <w:rPr>
                <w:b/>
                <w:u w:val="single"/>
              </w:rPr>
              <w:t>CRIMINAL JUSTICE IMPACT</w:t>
            </w:r>
          </w:p>
          <w:p w:rsidR="0017725B" w:rsidRDefault="00BE21A3" w:rsidP="00E121C3">
            <w:pPr>
              <w:rPr>
                <w:b/>
                <w:u w:val="single"/>
              </w:rPr>
            </w:pPr>
          </w:p>
          <w:p w:rsidR="0046039A" w:rsidRPr="0046039A" w:rsidRDefault="00BE21A3" w:rsidP="00E121C3">
            <w:pPr>
              <w:jc w:val="both"/>
            </w:pPr>
            <w:r>
              <w:t xml:space="preserve">It is the committee's opinion that this bill does not expressly create a criminal offense, increase the punishment for an existing criminal </w:t>
            </w:r>
            <w:r>
              <w:t>offense or category of offenses, or change the eligibility of a person for community supervision, parole, or mandatory supervision.</w:t>
            </w:r>
          </w:p>
          <w:p w:rsidR="0017725B" w:rsidRPr="0017725B" w:rsidRDefault="00BE21A3" w:rsidP="00E121C3">
            <w:pPr>
              <w:rPr>
                <w:b/>
                <w:u w:val="single"/>
              </w:rPr>
            </w:pPr>
          </w:p>
        </w:tc>
      </w:tr>
      <w:tr w:rsidR="00BC6337" w:rsidTr="00345119">
        <w:tc>
          <w:tcPr>
            <w:tcW w:w="9576" w:type="dxa"/>
          </w:tcPr>
          <w:p w:rsidR="008423E4" w:rsidRPr="00A8133F" w:rsidRDefault="00BE21A3" w:rsidP="00E121C3">
            <w:pPr>
              <w:rPr>
                <w:b/>
              </w:rPr>
            </w:pPr>
            <w:r w:rsidRPr="009C1E9A">
              <w:rPr>
                <w:b/>
                <w:u w:val="single"/>
              </w:rPr>
              <w:t>RULEMAKING AUTHORITY</w:t>
            </w:r>
            <w:r>
              <w:rPr>
                <w:b/>
              </w:rPr>
              <w:t xml:space="preserve"> </w:t>
            </w:r>
          </w:p>
          <w:p w:rsidR="008423E4" w:rsidRDefault="00BE21A3" w:rsidP="00E121C3"/>
          <w:p w:rsidR="0046039A" w:rsidRDefault="00BE21A3" w:rsidP="00E121C3">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rsidR="008423E4" w:rsidRPr="00E21FDC" w:rsidRDefault="00BE21A3" w:rsidP="00E121C3">
            <w:pPr>
              <w:rPr>
                <w:b/>
              </w:rPr>
            </w:pPr>
          </w:p>
        </w:tc>
      </w:tr>
      <w:tr w:rsidR="00BC6337" w:rsidTr="00345119">
        <w:tc>
          <w:tcPr>
            <w:tcW w:w="9576" w:type="dxa"/>
          </w:tcPr>
          <w:p w:rsidR="008423E4" w:rsidRPr="00A8133F" w:rsidRDefault="00BE21A3" w:rsidP="00E121C3">
            <w:pPr>
              <w:rPr>
                <w:b/>
              </w:rPr>
            </w:pPr>
            <w:r w:rsidRPr="009C1E9A">
              <w:rPr>
                <w:b/>
                <w:u w:val="single"/>
              </w:rPr>
              <w:t>ANALYSIS</w:t>
            </w:r>
            <w:r>
              <w:rPr>
                <w:b/>
              </w:rPr>
              <w:t xml:space="preserve"> </w:t>
            </w:r>
          </w:p>
          <w:p w:rsidR="008423E4" w:rsidRDefault="00BE21A3" w:rsidP="00E121C3"/>
          <w:p w:rsidR="008423E4" w:rsidRDefault="00BE21A3" w:rsidP="00E121C3">
            <w:pPr>
              <w:pStyle w:val="Header"/>
              <w:tabs>
                <w:tab w:val="clear" w:pos="4320"/>
                <w:tab w:val="clear" w:pos="8640"/>
              </w:tabs>
              <w:jc w:val="both"/>
            </w:pPr>
            <w:r>
              <w:t>C.S.</w:t>
            </w:r>
            <w:r>
              <w:t xml:space="preserve">H.B. 4086 amends the Government Code to </w:t>
            </w:r>
            <w:r>
              <w:t>r</w:t>
            </w:r>
            <w:r>
              <w:t>emove</w:t>
            </w:r>
            <w:r>
              <w:t xml:space="preserve"> from</w:t>
            </w:r>
            <w:r>
              <w:t xml:space="preserve"> </w:t>
            </w:r>
            <w:r>
              <w:t xml:space="preserve">the </w:t>
            </w:r>
            <w:r>
              <w:t xml:space="preserve">definition </w:t>
            </w:r>
            <w:r>
              <w:t>of "closing</w:t>
            </w:r>
            <w:r>
              <w:t>,</w:t>
            </w:r>
            <w:r>
              <w:t xml:space="preserve">" for purposes of </w:t>
            </w:r>
            <w:r>
              <w:t xml:space="preserve">provisions relating to </w:t>
            </w:r>
            <w:r>
              <w:t>certain private activity bonds</w:t>
            </w:r>
            <w:r>
              <w:t>,</w:t>
            </w:r>
            <w:r>
              <w:t xml:space="preserve"> </w:t>
            </w:r>
            <w:r>
              <w:t>the issuance of a bon</w:t>
            </w:r>
            <w:r>
              <w:t>d by an issuer in ex</w:t>
            </w:r>
            <w:r>
              <w:t>change for the required payment</w:t>
            </w:r>
            <w:r>
              <w:t xml:space="preserve"> for the bond</w:t>
            </w:r>
            <w:r>
              <w:t>. The bill</w:t>
            </w:r>
            <w:r>
              <w:t xml:space="preserve"> </w:t>
            </w:r>
            <w:r>
              <w:t>establish</w:t>
            </w:r>
            <w:r>
              <w:t>es</w:t>
            </w:r>
            <w:r>
              <w:t xml:space="preserve"> that the </w:t>
            </w:r>
            <w:r>
              <w:t xml:space="preserve">term </w:t>
            </w:r>
            <w:r>
              <w:t xml:space="preserve">includes </w:t>
            </w:r>
            <w:r w:rsidRPr="00483179">
              <w:t>delivery of a bond in exchange for a partial payment for the incremental funding of the bond in accordance with the terms of the bond, provided th</w:t>
            </w:r>
            <w:r w:rsidRPr="00483179">
              <w:t xml:space="preserve">at the partial payment is </w:t>
            </w:r>
            <w:r>
              <w:t xml:space="preserve">not less than 10 percent of the required payment for the bond. </w:t>
            </w:r>
          </w:p>
          <w:p w:rsidR="008423E4" w:rsidRPr="00835628" w:rsidRDefault="00BE21A3" w:rsidP="00E121C3">
            <w:pPr>
              <w:rPr>
                <w:b/>
              </w:rPr>
            </w:pPr>
          </w:p>
        </w:tc>
      </w:tr>
      <w:tr w:rsidR="00BC6337" w:rsidTr="00345119">
        <w:tc>
          <w:tcPr>
            <w:tcW w:w="9576" w:type="dxa"/>
          </w:tcPr>
          <w:p w:rsidR="008423E4" w:rsidRPr="00A8133F" w:rsidRDefault="00BE21A3" w:rsidP="00E121C3">
            <w:pPr>
              <w:rPr>
                <w:b/>
              </w:rPr>
            </w:pPr>
            <w:r w:rsidRPr="009C1E9A">
              <w:rPr>
                <w:b/>
                <w:u w:val="single"/>
              </w:rPr>
              <w:t>EFFECTIVE DATE</w:t>
            </w:r>
            <w:r>
              <w:rPr>
                <w:b/>
              </w:rPr>
              <w:t xml:space="preserve"> </w:t>
            </w:r>
          </w:p>
          <w:p w:rsidR="008423E4" w:rsidRDefault="00BE21A3" w:rsidP="00E121C3"/>
          <w:p w:rsidR="008423E4" w:rsidRPr="003624F2" w:rsidRDefault="00BE21A3" w:rsidP="00E121C3">
            <w:pPr>
              <w:pStyle w:val="Header"/>
              <w:tabs>
                <w:tab w:val="clear" w:pos="4320"/>
                <w:tab w:val="clear" w:pos="8640"/>
              </w:tabs>
              <w:jc w:val="both"/>
            </w:pPr>
            <w:r>
              <w:t>September 1, 2019.</w:t>
            </w:r>
          </w:p>
          <w:p w:rsidR="008423E4" w:rsidRPr="00233FDB" w:rsidRDefault="00BE21A3" w:rsidP="00E121C3">
            <w:pPr>
              <w:rPr>
                <w:b/>
              </w:rPr>
            </w:pPr>
          </w:p>
        </w:tc>
      </w:tr>
      <w:tr w:rsidR="00BC6337" w:rsidTr="00345119">
        <w:tc>
          <w:tcPr>
            <w:tcW w:w="9576" w:type="dxa"/>
          </w:tcPr>
          <w:p w:rsidR="00D41006" w:rsidRDefault="00BE21A3" w:rsidP="00E121C3">
            <w:pPr>
              <w:jc w:val="both"/>
              <w:rPr>
                <w:b/>
                <w:u w:val="single"/>
              </w:rPr>
            </w:pPr>
            <w:r>
              <w:rPr>
                <w:b/>
                <w:u w:val="single"/>
              </w:rPr>
              <w:t>COMPARISON OF ORIGINAL AND SUBSTITUTE</w:t>
            </w:r>
          </w:p>
          <w:p w:rsidR="00483179" w:rsidRDefault="00BE21A3" w:rsidP="00E121C3">
            <w:pPr>
              <w:jc w:val="both"/>
            </w:pPr>
          </w:p>
          <w:p w:rsidR="00483179" w:rsidRDefault="00BE21A3" w:rsidP="00E121C3">
            <w:pPr>
              <w:jc w:val="both"/>
            </w:pPr>
            <w:r>
              <w:t xml:space="preserve">While C.S.H.B. 4086 may differ from the original in minor or nonsubstantive ways, the </w:t>
            </w:r>
            <w:r>
              <w:t>following summarizes the substantial differences between the introduced and committee substitute versions of the bill.</w:t>
            </w:r>
          </w:p>
          <w:p w:rsidR="00483179" w:rsidRDefault="00BE21A3" w:rsidP="00E121C3">
            <w:pPr>
              <w:jc w:val="both"/>
            </w:pPr>
          </w:p>
          <w:p w:rsidR="00483179" w:rsidRDefault="00BE21A3" w:rsidP="00E121C3">
            <w:pPr>
              <w:jc w:val="both"/>
            </w:pPr>
            <w:r>
              <w:t>The substitute</w:t>
            </w:r>
            <w:r>
              <w:t xml:space="preserve"> changes the</w:t>
            </w:r>
            <w:r>
              <w:t xml:space="preserve"> </w:t>
            </w:r>
            <w:r>
              <w:t>revised</w:t>
            </w:r>
            <w:r>
              <w:t xml:space="preserve"> </w:t>
            </w:r>
            <w:r>
              <w:t>definition</w:t>
            </w:r>
            <w:r>
              <w:t xml:space="preserve"> of "closing</w:t>
            </w:r>
            <w:r>
              <w:t>"</w:t>
            </w:r>
            <w:r>
              <w:t xml:space="preserve"> from the issuance and delivery of a bond by an issuer in exchange for a parti</w:t>
            </w:r>
            <w:r>
              <w:t>al payment which may not be less than 10 percent of the required payment for the</w:t>
            </w:r>
            <w:r>
              <w:t xml:space="preserve"> bond to </w:t>
            </w:r>
            <w:r>
              <w:t>the</w:t>
            </w:r>
            <w:r>
              <w:t xml:space="preserve"> delivery</w:t>
            </w:r>
            <w:r>
              <w:t xml:space="preserve"> of a bond by an in issuer</w:t>
            </w:r>
            <w:r>
              <w:t xml:space="preserve"> in exchange for the required payment</w:t>
            </w:r>
            <w:r>
              <w:t xml:space="preserve"> </w:t>
            </w:r>
            <w:r>
              <w:t xml:space="preserve">for the bond, including </w:t>
            </w:r>
            <w:r w:rsidRPr="00AB727D">
              <w:t>delivery of a bond in exchange for a partial payment for the increm</w:t>
            </w:r>
            <w:r w:rsidRPr="00AB727D">
              <w:t>ental funding of the bond in accordance with the terms of the bond, provided that the partial payment is not less than 10 percent of the required payment for the bond</w:t>
            </w:r>
            <w:r w:rsidRPr="00464BC8">
              <w:t xml:space="preserve">.  </w:t>
            </w:r>
          </w:p>
          <w:p w:rsidR="00483179" w:rsidRPr="00483179" w:rsidRDefault="00BE21A3" w:rsidP="00E121C3">
            <w:pPr>
              <w:jc w:val="both"/>
            </w:pPr>
          </w:p>
        </w:tc>
      </w:tr>
      <w:tr w:rsidR="00BC6337" w:rsidTr="00345119">
        <w:tc>
          <w:tcPr>
            <w:tcW w:w="9576" w:type="dxa"/>
          </w:tcPr>
          <w:p w:rsidR="00D41006" w:rsidRPr="009C1E9A" w:rsidRDefault="00BE21A3" w:rsidP="00E121C3">
            <w:pPr>
              <w:rPr>
                <w:b/>
                <w:u w:val="single"/>
              </w:rPr>
            </w:pPr>
          </w:p>
        </w:tc>
      </w:tr>
      <w:tr w:rsidR="00BC6337" w:rsidTr="00345119">
        <w:tc>
          <w:tcPr>
            <w:tcW w:w="9576" w:type="dxa"/>
          </w:tcPr>
          <w:p w:rsidR="00D41006" w:rsidRPr="00D41006" w:rsidRDefault="00BE21A3" w:rsidP="00E121C3">
            <w:pPr>
              <w:jc w:val="both"/>
            </w:pPr>
          </w:p>
        </w:tc>
      </w:tr>
    </w:tbl>
    <w:p w:rsidR="008423E4" w:rsidRPr="00BE0E75" w:rsidRDefault="00BE21A3" w:rsidP="008423E4">
      <w:pPr>
        <w:spacing w:line="480" w:lineRule="auto"/>
        <w:jc w:val="both"/>
        <w:rPr>
          <w:rFonts w:ascii="Arial" w:hAnsi="Arial"/>
          <w:sz w:val="16"/>
          <w:szCs w:val="16"/>
        </w:rPr>
      </w:pPr>
    </w:p>
    <w:p w:rsidR="004108C3" w:rsidRPr="008423E4" w:rsidRDefault="00BE21A3"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E21A3">
      <w:r>
        <w:separator/>
      </w:r>
    </w:p>
  </w:endnote>
  <w:endnote w:type="continuationSeparator" w:id="0">
    <w:p w:rsidR="00000000" w:rsidRDefault="00BE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E2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C6337" w:rsidTr="009C1E9A">
      <w:trPr>
        <w:cantSplit/>
      </w:trPr>
      <w:tc>
        <w:tcPr>
          <w:tcW w:w="0" w:type="pct"/>
        </w:tcPr>
        <w:p w:rsidR="00137D90" w:rsidRDefault="00BE21A3" w:rsidP="009C1E9A">
          <w:pPr>
            <w:pStyle w:val="Footer"/>
            <w:tabs>
              <w:tab w:val="clear" w:pos="8640"/>
              <w:tab w:val="right" w:pos="9360"/>
            </w:tabs>
          </w:pPr>
        </w:p>
      </w:tc>
      <w:tc>
        <w:tcPr>
          <w:tcW w:w="2395" w:type="pct"/>
        </w:tcPr>
        <w:p w:rsidR="00137D90" w:rsidRDefault="00BE21A3" w:rsidP="009C1E9A">
          <w:pPr>
            <w:pStyle w:val="Footer"/>
            <w:tabs>
              <w:tab w:val="clear" w:pos="8640"/>
              <w:tab w:val="right" w:pos="9360"/>
            </w:tabs>
          </w:pPr>
        </w:p>
        <w:p w:rsidR="001A4310" w:rsidRDefault="00BE21A3" w:rsidP="009C1E9A">
          <w:pPr>
            <w:pStyle w:val="Footer"/>
            <w:tabs>
              <w:tab w:val="clear" w:pos="8640"/>
              <w:tab w:val="right" w:pos="9360"/>
            </w:tabs>
          </w:pPr>
        </w:p>
        <w:p w:rsidR="00137D90" w:rsidRDefault="00BE21A3" w:rsidP="009C1E9A">
          <w:pPr>
            <w:pStyle w:val="Footer"/>
            <w:tabs>
              <w:tab w:val="clear" w:pos="8640"/>
              <w:tab w:val="right" w:pos="9360"/>
            </w:tabs>
          </w:pPr>
        </w:p>
      </w:tc>
      <w:tc>
        <w:tcPr>
          <w:tcW w:w="2453" w:type="pct"/>
        </w:tcPr>
        <w:p w:rsidR="00137D90" w:rsidRDefault="00BE21A3" w:rsidP="009C1E9A">
          <w:pPr>
            <w:pStyle w:val="Footer"/>
            <w:tabs>
              <w:tab w:val="clear" w:pos="8640"/>
              <w:tab w:val="right" w:pos="9360"/>
            </w:tabs>
            <w:jc w:val="right"/>
          </w:pPr>
        </w:p>
      </w:tc>
    </w:tr>
    <w:tr w:rsidR="00BC6337" w:rsidTr="009C1E9A">
      <w:trPr>
        <w:cantSplit/>
      </w:trPr>
      <w:tc>
        <w:tcPr>
          <w:tcW w:w="0" w:type="pct"/>
        </w:tcPr>
        <w:p w:rsidR="00EC379B" w:rsidRDefault="00BE21A3" w:rsidP="009C1E9A">
          <w:pPr>
            <w:pStyle w:val="Footer"/>
            <w:tabs>
              <w:tab w:val="clear" w:pos="8640"/>
              <w:tab w:val="right" w:pos="9360"/>
            </w:tabs>
          </w:pPr>
        </w:p>
      </w:tc>
      <w:tc>
        <w:tcPr>
          <w:tcW w:w="2395" w:type="pct"/>
        </w:tcPr>
        <w:p w:rsidR="00EC379B" w:rsidRPr="009C1E9A" w:rsidRDefault="00BE21A3" w:rsidP="009C1E9A">
          <w:pPr>
            <w:pStyle w:val="Footer"/>
            <w:tabs>
              <w:tab w:val="clear" w:pos="8640"/>
              <w:tab w:val="right" w:pos="9360"/>
            </w:tabs>
            <w:rPr>
              <w:rFonts w:ascii="Shruti" w:hAnsi="Shruti"/>
              <w:sz w:val="22"/>
            </w:rPr>
          </w:pPr>
          <w:r>
            <w:rPr>
              <w:rFonts w:ascii="Shruti" w:hAnsi="Shruti"/>
              <w:sz w:val="22"/>
            </w:rPr>
            <w:t>86R 31520</w:t>
          </w:r>
        </w:p>
      </w:tc>
      <w:tc>
        <w:tcPr>
          <w:tcW w:w="2453" w:type="pct"/>
        </w:tcPr>
        <w:p w:rsidR="00EC379B" w:rsidRDefault="00BE21A3" w:rsidP="009C1E9A">
          <w:pPr>
            <w:pStyle w:val="Footer"/>
            <w:tabs>
              <w:tab w:val="clear" w:pos="8640"/>
              <w:tab w:val="right" w:pos="9360"/>
            </w:tabs>
            <w:jc w:val="right"/>
          </w:pPr>
          <w:r>
            <w:fldChar w:fldCharType="begin"/>
          </w:r>
          <w:r>
            <w:instrText xml:space="preserve"> DOCPROPERTY  OTID  \* MERGEFORMAT </w:instrText>
          </w:r>
          <w:r>
            <w:fldChar w:fldCharType="separate"/>
          </w:r>
          <w:r>
            <w:t>19.123.70</w:t>
          </w:r>
          <w:r>
            <w:fldChar w:fldCharType="end"/>
          </w:r>
        </w:p>
      </w:tc>
    </w:tr>
    <w:tr w:rsidR="00BC6337" w:rsidTr="009C1E9A">
      <w:trPr>
        <w:cantSplit/>
      </w:trPr>
      <w:tc>
        <w:tcPr>
          <w:tcW w:w="0" w:type="pct"/>
        </w:tcPr>
        <w:p w:rsidR="00EC379B" w:rsidRDefault="00BE21A3" w:rsidP="009C1E9A">
          <w:pPr>
            <w:pStyle w:val="Footer"/>
            <w:tabs>
              <w:tab w:val="clear" w:pos="4320"/>
              <w:tab w:val="clear" w:pos="8640"/>
              <w:tab w:val="left" w:pos="2865"/>
            </w:tabs>
          </w:pPr>
        </w:p>
      </w:tc>
      <w:tc>
        <w:tcPr>
          <w:tcW w:w="2395" w:type="pct"/>
        </w:tcPr>
        <w:p w:rsidR="00EC379B" w:rsidRPr="009C1E9A" w:rsidRDefault="00BE21A3" w:rsidP="009C1E9A">
          <w:pPr>
            <w:pStyle w:val="Footer"/>
            <w:tabs>
              <w:tab w:val="clear" w:pos="4320"/>
              <w:tab w:val="clear" w:pos="8640"/>
              <w:tab w:val="left" w:pos="2865"/>
            </w:tabs>
            <w:rPr>
              <w:rFonts w:ascii="Shruti" w:hAnsi="Shruti"/>
              <w:sz w:val="22"/>
            </w:rPr>
          </w:pPr>
          <w:r>
            <w:rPr>
              <w:rFonts w:ascii="Shruti" w:hAnsi="Shruti"/>
              <w:sz w:val="22"/>
            </w:rPr>
            <w:t>Substitute Document Number: 86R 22680</w:t>
          </w:r>
        </w:p>
      </w:tc>
      <w:tc>
        <w:tcPr>
          <w:tcW w:w="2453" w:type="pct"/>
        </w:tcPr>
        <w:p w:rsidR="00EC379B" w:rsidRDefault="00BE21A3" w:rsidP="006D504F">
          <w:pPr>
            <w:pStyle w:val="Footer"/>
            <w:rPr>
              <w:rStyle w:val="PageNumber"/>
            </w:rPr>
          </w:pPr>
        </w:p>
        <w:p w:rsidR="00EC379B" w:rsidRDefault="00BE21A3" w:rsidP="009C1E9A">
          <w:pPr>
            <w:pStyle w:val="Footer"/>
            <w:tabs>
              <w:tab w:val="clear" w:pos="8640"/>
              <w:tab w:val="right" w:pos="9360"/>
            </w:tabs>
            <w:jc w:val="right"/>
          </w:pPr>
        </w:p>
      </w:tc>
    </w:tr>
    <w:tr w:rsidR="00BC6337" w:rsidTr="009C1E9A">
      <w:trPr>
        <w:cantSplit/>
        <w:trHeight w:val="323"/>
      </w:trPr>
      <w:tc>
        <w:tcPr>
          <w:tcW w:w="0" w:type="pct"/>
          <w:gridSpan w:val="3"/>
        </w:tcPr>
        <w:p w:rsidR="00EC379B" w:rsidRDefault="00BE21A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BE21A3" w:rsidP="009C1E9A">
          <w:pPr>
            <w:pStyle w:val="Footer"/>
            <w:tabs>
              <w:tab w:val="clear" w:pos="8640"/>
              <w:tab w:val="right" w:pos="9360"/>
            </w:tabs>
            <w:jc w:val="center"/>
          </w:pPr>
        </w:p>
      </w:tc>
    </w:tr>
  </w:tbl>
  <w:p w:rsidR="00EC379B" w:rsidRPr="00FF6F72" w:rsidRDefault="00BE21A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E2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E21A3">
      <w:r>
        <w:separator/>
      </w:r>
    </w:p>
  </w:footnote>
  <w:footnote w:type="continuationSeparator" w:id="0">
    <w:p w:rsidR="00000000" w:rsidRDefault="00BE2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E2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E2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E2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37"/>
    <w:rsid w:val="00BC6337"/>
    <w:rsid w:val="00BE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E227A0-014D-4A81-A51E-03818BA3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F34ED"/>
    <w:rPr>
      <w:sz w:val="16"/>
      <w:szCs w:val="16"/>
    </w:rPr>
  </w:style>
  <w:style w:type="paragraph" w:styleId="CommentText">
    <w:name w:val="annotation text"/>
    <w:basedOn w:val="Normal"/>
    <w:link w:val="CommentTextChar"/>
    <w:semiHidden/>
    <w:unhideWhenUsed/>
    <w:rsid w:val="000F34ED"/>
    <w:rPr>
      <w:sz w:val="20"/>
      <w:szCs w:val="20"/>
    </w:rPr>
  </w:style>
  <w:style w:type="character" w:customStyle="1" w:styleId="CommentTextChar">
    <w:name w:val="Comment Text Char"/>
    <w:basedOn w:val="DefaultParagraphFont"/>
    <w:link w:val="CommentText"/>
    <w:semiHidden/>
    <w:rsid w:val="000F34ED"/>
  </w:style>
  <w:style w:type="paragraph" w:styleId="CommentSubject">
    <w:name w:val="annotation subject"/>
    <w:basedOn w:val="CommentText"/>
    <w:next w:val="CommentText"/>
    <w:link w:val="CommentSubjectChar"/>
    <w:semiHidden/>
    <w:unhideWhenUsed/>
    <w:rsid w:val="000F34ED"/>
    <w:rPr>
      <w:b/>
      <w:bCs/>
    </w:rPr>
  </w:style>
  <w:style w:type="character" w:customStyle="1" w:styleId="CommentSubjectChar">
    <w:name w:val="Comment Subject Char"/>
    <w:basedOn w:val="CommentTextChar"/>
    <w:link w:val="CommentSubject"/>
    <w:semiHidden/>
    <w:rsid w:val="000F34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2253</Characters>
  <Application>Microsoft Office Word</Application>
  <DocSecurity>4</DocSecurity>
  <Lines>62</Lines>
  <Paragraphs>18</Paragraphs>
  <ScaleCrop>false</ScaleCrop>
  <HeadingPairs>
    <vt:vector size="2" baseType="variant">
      <vt:variant>
        <vt:lpstr>Title</vt:lpstr>
      </vt:variant>
      <vt:variant>
        <vt:i4>1</vt:i4>
      </vt:variant>
    </vt:vector>
  </HeadingPairs>
  <TitlesOfParts>
    <vt:vector size="1" baseType="lpstr">
      <vt:lpstr>BA - HB04086 (Committee Report (Substituted))</vt:lpstr>
    </vt:vector>
  </TitlesOfParts>
  <Company>State of Texas</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31520</dc:subject>
  <dc:creator>State of Texas</dc:creator>
  <dc:description>HB 4086 by Sanford-(H)Pensions, Investments &amp; Financial Services (Substitute Document Number: 86R 22680)</dc:description>
  <cp:lastModifiedBy>Scotty Wimberley</cp:lastModifiedBy>
  <cp:revision>2</cp:revision>
  <cp:lastPrinted>2003-11-26T17:21:00Z</cp:lastPrinted>
  <dcterms:created xsi:type="dcterms:W3CDTF">2019-05-03T20:53:00Z</dcterms:created>
  <dcterms:modified xsi:type="dcterms:W3CDTF">2019-05-03T20:53:00Z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19.123.70</vt:lpwstr>
  </property>
</Properties>
</file>