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A0B6C" w:rsidTr="00345119">
        <w:tc>
          <w:tcPr>
            <w:tcW w:w="9576" w:type="dxa"/>
            <w:noWrap/>
          </w:tcPr>
          <w:p w:rsidR="008423E4" w:rsidRPr="0022177D" w:rsidRDefault="006907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907AA" w:rsidP="008423E4">
      <w:pPr>
        <w:jc w:val="center"/>
      </w:pPr>
    </w:p>
    <w:p w:rsidR="008423E4" w:rsidRPr="00453515" w:rsidRDefault="006907AA" w:rsidP="008423E4">
      <w:pPr>
        <w:rPr>
          <w:sz w:val="22"/>
        </w:rPr>
      </w:pPr>
    </w:p>
    <w:p w:rsidR="008423E4" w:rsidRPr="00453515" w:rsidRDefault="006907AA" w:rsidP="008423E4">
      <w:pPr>
        <w:tabs>
          <w:tab w:val="right" w:pos="9360"/>
        </w:tabs>
        <w:rPr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A0B6C" w:rsidTr="00345119">
        <w:tc>
          <w:tcPr>
            <w:tcW w:w="9576" w:type="dxa"/>
          </w:tcPr>
          <w:p w:rsidR="008423E4" w:rsidRPr="00861995" w:rsidRDefault="006907AA" w:rsidP="00345119">
            <w:pPr>
              <w:jc w:val="right"/>
            </w:pPr>
            <w:r>
              <w:t>C.S.H.B. 4097</w:t>
            </w:r>
          </w:p>
        </w:tc>
      </w:tr>
      <w:tr w:rsidR="008A0B6C" w:rsidTr="00345119">
        <w:tc>
          <w:tcPr>
            <w:tcW w:w="9576" w:type="dxa"/>
          </w:tcPr>
          <w:p w:rsidR="008423E4" w:rsidRPr="00861995" w:rsidRDefault="006907AA" w:rsidP="008F010F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8A0B6C" w:rsidTr="00345119">
        <w:tc>
          <w:tcPr>
            <w:tcW w:w="9576" w:type="dxa"/>
          </w:tcPr>
          <w:p w:rsidR="008423E4" w:rsidRPr="00861995" w:rsidRDefault="006907AA" w:rsidP="00345119">
            <w:pPr>
              <w:jc w:val="right"/>
            </w:pPr>
            <w:r>
              <w:t>Public Health</w:t>
            </w:r>
          </w:p>
        </w:tc>
      </w:tr>
      <w:tr w:rsidR="008A0B6C" w:rsidTr="00345119">
        <w:tc>
          <w:tcPr>
            <w:tcW w:w="9576" w:type="dxa"/>
          </w:tcPr>
          <w:p w:rsidR="008423E4" w:rsidRDefault="006907AA" w:rsidP="0032078C">
            <w:pPr>
              <w:jc w:val="right"/>
            </w:pPr>
            <w:r>
              <w:t>Committee Report (Substituted)</w:t>
            </w:r>
          </w:p>
        </w:tc>
      </w:tr>
    </w:tbl>
    <w:p w:rsidR="008423E4" w:rsidRPr="00453515" w:rsidRDefault="006907AA" w:rsidP="008423E4">
      <w:pPr>
        <w:tabs>
          <w:tab w:val="right" w:pos="9360"/>
        </w:tabs>
        <w:rPr>
          <w:sz w:val="22"/>
        </w:rPr>
      </w:pPr>
    </w:p>
    <w:p w:rsidR="008423E4" w:rsidRPr="00453515" w:rsidRDefault="006907AA" w:rsidP="008423E4">
      <w:pPr>
        <w:rPr>
          <w:sz w:val="22"/>
        </w:rPr>
      </w:pPr>
    </w:p>
    <w:p w:rsidR="008423E4" w:rsidRPr="00453515" w:rsidRDefault="006907AA" w:rsidP="008423E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A0B6C" w:rsidTr="00345119">
        <w:tc>
          <w:tcPr>
            <w:tcW w:w="9576" w:type="dxa"/>
          </w:tcPr>
          <w:p w:rsidR="008423E4" w:rsidRPr="00A8133F" w:rsidRDefault="006907AA" w:rsidP="006A69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453515" w:rsidRDefault="006907AA" w:rsidP="006A69CB">
            <w:pPr>
              <w:rPr>
                <w:sz w:val="22"/>
              </w:rPr>
            </w:pPr>
          </w:p>
          <w:p w:rsidR="008423E4" w:rsidRDefault="006907AA" w:rsidP="006A69CB">
            <w:pPr>
              <w:pStyle w:val="Header"/>
              <w:jc w:val="both"/>
            </w:pPr>
            <w:r>
              <w:t xml:space="preserve">It has been reported that </w:t>
            </w:r>
            <w:r>
              <w:t>hundreds of thousands of</w:t>
            </w:r>
            <w:r>
              <w:t xml:space="preserve"> veterans of the</w:t>
            </w:r>
            <w:r>
              <w:t xml:space="preserve"> wars in</w:t>
            </w:r>
            <w:r>
              <w:t xml:space="preserve"> Iraq and Afghanistan </w:t>
            </w:r>
            <w:r>
              <w:t xml:space="preserve">seek treatment each year </w:t>
            </w:r>
            <w:r>
              <w:t xml:space="preserve">for </w:t>
            </w:r>
            <w:r w:rsidRPr="00D67729">
              <w:t>post-traumatic stress disorder</w:t>
            </w:r>
            <w:r>
              <w:t xml:space="preserve"> (PTSD)</w:t>
            </w:r>
            <w:r>
              <w:t xml:space="preserve">. </w:t>
            </w:r>
            <w:r>
              <w:t>It has also been noted that</w:t>
            </w:r>
            <w:r>
              <w:t xml:space="preserve"> </w:t>
            </w:r>
            <w:r>
              <w:t>medical cannabis</w:t>
            </w:r>
            <w:r>
              <w:t xml:space="preserve"> may be effective </w:t>
            </w:r>
            <w:r>
              <w:t xml:space="preserve">in </w:t>
            </w:r>
            <w:r>
              <w:t>assuaging the symptoms of PTSD</w:t>
            </w:r>
            <w:r>
              <w:t>.</w:t>
            </w:r>
            <w:r>
              <w:t xml:space="preserve"> </w:t>
            </w:r>
            <w:r>
              <w:t>C.S.</w:t>
            </w:r>
            <w:r w:rsidRPr="00B80665">
              <w:t>H.B. 4097</w:t>
            </w:r>
            <w:r>
              <w:t xml:space="preserve"> seeks to address this issue by providing for</w:t>
            </w:r>
            <w:r>
              <w:t xml:space="preserve"> </w:t>
            </w:r>
            <w:r>
              <w:t>t</w:t>
            </w:r>
            <w:r w:rsidRPr="00F66BED">
              <w:t xml:space="preserve">he use of medical cannabis by veterans for </w:t>
            </w:r>
            <w:r>
              <w:t>PTSD</w:t>
            </w:r>
            <w:r w:rsidRPr="00F66BED">
              <w:t xml:space="preserve"> and the lice</w:t>
            </w:r>
            <w:r w:rsidRPr="00F66BED">
              <w:t>nsing of associated cultivating or dispensing organizations</w:t>
            </w:r>
            <w:r>
              <w:t xml:space="preserve">. </w:t>
            </w:r>
          </w:p>
          <w:p w:rsidR="008423E4" w:rsidRPr="00453515" w:rsidRDefault="006907AA" w:rsidP="006A69CB">
            <w:pPr>
              <w:rPr>
                <w:b/>
                <w:sz w:val="22"/>
              </w:rPr>
            </w:pPr>
          </w:p>
        </w:tc>
      </w:tr>
      <w:tr w:rsidR="008A0B6C" w:rsidTr="00345119">
        <w:tc>
          <w:tcPr>
            <w:tcW w:w="9576" w:type="dxa"/>
          </w:tcPr>
          <w:p w:rsidR="0017725B" w:rsidRDefault="006907AA" w:rsidP="006A69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453515" w:rsidRDefault="006907AA" w:rsidP="006A69CB">
            <w:pPr>
              <w:rPr>
                <w:b/>
                <w:sz w:val="22"/>
                <w:u w:val="single"/>
              </w:rPr>
            </w:pPr>
          </w:p>
          <w:p w:rsidR="00BB7899" w:rsidRPr="00BB7899" w:rsidRDefault="006907AA" w:rsidP="006A69C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453515" w:rsidRDefault="006907AA" w:rsidP="006A69CB">
            <w:pPr>
              <w:rPr>
                <w:b/>
                <w:sz w:val="22"/>
                <w:u w:val="single"/>
              </w:rPr>
            </w:pPr>
          </w:p>
        </w:tc>
      </w:tr>
      <w:tr w:rsidR="008A0B6C" w:rsidTr="00345119">
        <w:tc>
          <w:tcPr>
            <w:tcW w:w="9576" w:type="dxa"/>
          </w:tcPr>
          <w:p w:rsidR="008423E4" w:rsidRPr="00A8133F" w:rsidRDefault="006907AA" w:rsidP="006A69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453515" w:rsidRDefault="006907AA" w:rsidP="006A69CB">
            <w:pPr>
              <w:rPr>
                <w:sz w:val="22"/>
              </w:rPr>
            </w:pPr>
          </w:p>
          <w:p w:rsidR="00BB7899" w:rsidRDefault="006907AA" w:rsidP="006A69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</w:t>
            </w:r>
            <w:r>
              <w:t>nd Human Services Commission and the public safety director of the Department of Public Safety in SECTION 1</w:t>
            </w:r>
            <w:r>
              <w:t xml:space="preserve"> </w:t>
            </w:r>
            <w:r>
              <w:t>of this bill.</w:t>
            </w:r>
          </w:p>
          <w:p w:rsidR="008423E4" w:rsidRPr="00453515" w:rsidRDefault="006907AA" w:rsidP="006A69CB">
            <w:pPr>
              <w:rPr>
                <w:b/>
                <w:sz w:val="22"/>
              </w:rPr>
            </w:pPr>
          </w:p>
        </w:tc>
      </w:tr>
      <w:tr w:rsidR="008A0B6C" w:rsidTr="00345119">
        <w:tc>
          <w:tcPr>
            <w:tcW w:w="9576" w:type="dxa"/>
          </w:tcPr>
          <w:p w:rsidR="008423E4" w:rsidRPr="00A8133F" w:rsidRDefault="006907AA" w:rsidP="006A69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453515" w:rsidRDefault="006907AA" w:rsidP="006A69CB">
            <w:pPr>
              <w:rPr>
                <w:sz w:val="22"/>
              </w:rPr>
            </w:pPr>
          </w:p>
          <w:p w:rsidR="008423E4" w:rsidRDefault="006907AA" w:rsidP="006A69CB">
            <w:pPr>
              <w:pStyle w:val="Header"/>
              <w:jc w:val="both"/>
            </w:pPr>
            <w:r>
              <w:t>C.S.</w:t>
            </w:r>
            <w:r>
              <w:t>H.B. 4097 amends the Health and Safety Code to make a veteran</w:t>
            </w:r>
            <w:r>
              <w:t xml:space="preserve"> suffering</w:t>
            </w:r>
            <w:r>
              <w:t xml:space="preserve"> </w:t>
            </w:r>
            <w:r w:rsidRPr="00570869">
              <w:t>from post</w:t>
            </w:r>
            <w:r>
              <w:noBreakHyphen/>
            </w:r>
            <w:r w:rsidRPr="00570869">
              <w:t>traumatic stress disorder</w:t>
            </w:r>
            <w:r>
              <w:t xml:space="preserve"> </w:t>
            </w:r>
            <w:r>
              <w:t xml:space="preserve">eligible </w:t>
            </w:r>
            <w:r w:rsidRPr="0078686E">
              <w:t>to purchase medical cannabis from a cultivating or dispensing facility if the veteran is issued a purchaser permit</w:t>
            </w:r>
            <w:r>
              <w:t xml:space="preserve"> under the bill's provisions</w:t>
            </w:r>
            <w:r>
              <w:t>.</w:t>
            </w:r>
            <w:r>
              <w:t xml:space="preserve"> The bill </w:t>
            </w:r>
            <w:r>
              <w:t xml:space="preserve">sets out the application requirements </w:t>
            </w:r>
            <w:r>
              <w:t>for</w:t>
            </w:r>
            <w:r>
              <w:t xml:space="preserve"> a purchaser permit </w:t>
            </w:r>
            <w:r>
              <w:t xml:space="preserve">and </w:t>
            </w:r>
            <w:r>
              <w:t xml:space="preserve">requires </w:t>
            </w:r>
            <w:r w:rsidRPr="0079312B">
              <w:t>the Health and Human Services</w:t>
            </w:r>
            <w:r w:rsidRPr="0079312B">
              <w:t xml:space="preserve"> Commission (</w:t>
            </w:r>
            <w:r>
              <w:t>HHSC</w:t>
            </w:r>
            <w:r>
              <w:t>)</w:t>
            </w:r>
            <w:r>
              <w:t xml:space="preserve"> </w:t>
            </w:r>
            <w:r>
              <w:t>to issue a purchaser permit to a veteran who submits an application if HHSC determines that the veteran is eligible for the permit.</w:t>
            </w:r>
            <w:r>
              <w:t xml:space="preserve"> </w:t>
            </w:r>
          </w:p>
          <w:p w:rsidR="00554978" w:rsidRPr="00453515" w:rsidRDefault="006907AA" w:rsidP="006A69CB">
            <w:pPr>
              <w:pStyle w:val="Header"/>
              <w:jc w:val="both"/>
              <w:rPr>
                <w:sz w:val="22"/>
              </w:rPr>
            </w:pPr>
          </w:p>
          <w:p w:rsidR="00E204E5" w:rsidRDefault="006907AA" w:rsidP="006A69CB">
            <w:pPr>
              <w:pStyle w:val="Header"/>
              <w:jc w:val="both"/>
            </w:pPr>
            <w:r>
              <w:t>C.S.</w:t>
            </w:r>
            <w:r>
              <w:t xml:space="preserve">H.B. 4097 </w:t>
            </w:r>
            <w:r>
              <w:t>provides</w:t>
            </w:r>
            <w:r>
              <w:t xml:space="preserve"> for </w:t>
            </w:r>
            <w:r>
              <w:t>HHSC</w:t>
            </w:r>
            <w:r>
              <w:t xml:space="preserve"> licensing of </w:t>
            </w:r>
            <w:r>
              <w:t xml:space="preserve">a </w:t>
            </w:r>
            <w:r w:rsidRPr="00554978">
              <w:t>cultivating or dispensing organization</w:t>
            </w:r>
            <w:r>
              <w:t xml:space="preserve"> </w:t>
            </w:r>
            <w:r>
              <w:t>that</w:t>
            </w:r>
            <w:r>
              <w:t xml:space="preserve"> cultivat</w:t>
            </w:r>
            <w:r>
              <w:t>es</w:t>
            </w:r>
            <w:r>
              <w:t xml:space="preserve">, </w:t>
            </w:r>
            <w:r>
              <w:t>process</w:t>
            </w:r>
            <w:r>
              <w:t>es</w:t>
            </w:r>
            <w:r>
              <w:t>, or dispens</w:t>
            </w:r>
            <w:r>
              <w:t>es</w:t>
            </w:r>
            <w:r>
              <w:t xml:space="preserve"> medical cannabis </w:t>
            </w:r>
            <w:r>
              <w:t>to</w:t>
            </w:r>
            <w:r>
              <w:t xml:space="preserve"> </w:t>
            </w:r>
            <w:r>
              <w:t>a</w:t>
            </w:r>
            <w:r>
              <w:t xml:space="preserve"> </w:t>
            </w:r>
            <w:r w:rsidRPr="009C4F90">
              <w:t>veteran</w:t>
            </w:r>
            <w:r>
              <w:t xml:space="preserve"> </w:t>
            </w:r>
            <w:r>
              <w:t>who is issued a purchaser permit under the bill's provisions</w:t>
            </w:r>
            <w:r>
              <w:t>.</w:t>
            </w:r>
            <w:r>
              <w:t xml:space="preserve"> </w:t>
            </w:r>
            <w:r>
              <w:t xml:space="preserve">The bill sets out the </w:t>
            </w:r>
            <w:r>
              <w:t xml:space="preserve">license eligibility and </w:t>
            </w:r>
            <w:r>
              <w:t xml:space="preserve">application requirements </w:t>
            </w:r>
            <w:r w:rsidRPr="00324E8C">
              <w:t>and provides for a hearing for an applicant whose license is denied</w:t>
            </w:r>
            <w:r>
              <w:t>.</w:t>
            </w:r>
            <w:r>
              <w:t xml:space="preserve"> </w:t>
            </w:r>
            <w:r>
              <w:t xml:space="preserve">The bill requires </w:t>
            </w:r>
            <w:r w:rsidRPr="0068006B">
              <w:t>a cultivating or dispensing orga</w:t>
            </w:r>
            <w:r>
              <w:t>nization</w:t>
            </w:r>
            <w:r>
              <w:t>, to maintain eligibility for a license,</w:t>
            </w:r>
            <w:r>
              <w:t xml:space="preserve"> in conjunction with </w:t>
            </w:r>
            <w:r>
              <w:t>a</w:t>
            </w:r>
            <w:r w:rsidRPr="0068006B">
              <w:t xml:space="preserve"> </w:t>
            </w:r>
            <w:r>
              <w:t xml:space="preserve">certain health system, </w:t>
            </w:r>
            <w:r>
              <w:t xml:space="preserve">Texas </w:t>
            </w:r>
            <w:r>
              <w:t>public university, or registered clinical research organization</w:t>
            </w:r>
            <w:r w:rsidRPr="0068006B">
              <w:t xml:space="preserve"> in a partnership </w:t>
            </w:r>
            <w:r>
              <w:t>required by the bill's pr</w:t>
            </w:r>
            <w:r>
              <w:t xml:space="preserve">ovisions </w:t>
            </w:r>
            <w:r>
              <w:t xml:space="preserve">to </w:t>
            </w:r>
            <w:r>
              <w:t>do the following:</w:t>
            </w:r>
          </w:p>
          <w:p w:rsidR="00E204E5" w:rsidRDefault="006907AA" w:rsidP="006A69C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conduct</w:t>
            </w:r>
            <w:r>
              <w:t xml:space="preserve"> </w:t>
            </w:r>
            <w:r w:rsidRPr="0068006B">
              <w:t>research on a continual basis to determine the potential risks and benefits of medical cannabis as a treatment for</w:t>
            </w:r>
            <w:r>
              <w:t xml:space="preserve"> </w:t>
            </w:r>
            <w:r w:rsidRPr="0024406F">
              <w:t>post-traumatic stress disorder</w:t>
            </w:r>
            <w:r>
              <w:t>;</w:t>
            </w:r>
          </w:p>
          <w:p w:rsidR="00E204E5" w:rsidRDefault="006907AA" w:rsidP="006A69C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use the research to</w:t>
            </w:r>
            <w:r>
              <w:t xml:space="preserve"> </w:t>
            </w:r>
            <w:r w:rsidRPr="00C22E5A">
              <w:t xml:space="preserve">provide the optimal ratios of tetrahydrocannabinol </w:t>
            </w:r>
            <w:r w:rsidRPr="00C22E5A">
              <w:t>and cannabidiol for the</w:t>
            </w:r>
            <w:r>
              <w:t xml:space="preserve"> </w:t>
            </w:r>
            <w:r w:rsidRPr="00D67729">
              <w:t>post-traumatic stress disorder</w:t>
            </w:r>
            <w:r w:rsidRPr="00C22E5A">
              <w:t xml:space="preserve"> </w:t>
            </w:r>
            <w:r w:rsidRPr="00C22E5A">
              <w:t>treatment</w:t>
            </w:r>
            <w:r>
              <w:t>; and</w:t>
            </w:r>
          </w:p>
          <w:p w:rsidR="00E204E5" w:rsidRDefault="006907AA" w:rsidP="006A69C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make the findings, conclusions, data, and methodology </w:t>
            </w:r>
            <w:r>
              <w:t>of the research perform</w:t>
            </w:r>
            <w:r>
              <w:t>ed available for peer review.</w:t>
            </w:r>
            <w:r>
              <w:t xml:space="preserve"> </w:t>
            </w:r>
          </w:p>
          <w:p w:rsidR="0049534E" w:rsidRDefault="006907AA" w:rsidP="006A69CB">
            <w:pPr>
              <w:pStyle w:val="Header"/>
              <w:spacing w:before="120" w:after="120"/>
              <w:jc w:val="both"/>
            </w:pPr>
            <w:r>
              <w:t>The bill provides for the expiration of a license on the second anniversary of</w:t>
            </w:r>
            <w:r>
              <w:t xml:space="preserve"> the date of issuance or renewal and for the revocation and suspension of a license. The bill requires an applicant for issuance or renewal of a license to provide </w:t>
            </w:r>
            <w:r>
              <w:t xml:space="preserve">the </w:t>
            </w:r>
            <w:r>
              <w:t>Department of Public Safety (</w:t>
            </w:r>
            <w:r>
              <w:t>DPS</w:t>
            </w:r>
            <w:r>
              <w:t>)</w:t>
            </w:r>
            <w:r>
              <w:t xml:space="preserve"> with the applicant's name</w:t>
            </w:r>
            <w:r>
              <w:t>,</w:t>
            </w:r>
            <w:r>
              <w:t xml:space="preserve"> </w:t>
            </w:r>
            <w:r w:rsidRPr="000D5071">
              <w:t>the name of each person who</w:t>
            </w:r>
            <w:r w:rsidRPr="000D5071">
              <w:t xml:space="preserve"> has a 20 percent equity interest in the applicant</w:t>
            </w:r>
            <w:r>
              <w:t>,</w:t>
            </w:r>
            <w:r w:rsidRPr="000D5071">
              <w:t xml:space="preserve"> </w:t>
            </w:r>
            <w:r>
              <w:t xml:space="preserve">and the names of the applicant's </w:t>
            </w:r>
            <w:r>
              <w:t xml:space="preserve">employees or </w:t>
            </w:r>
            <w:r>
              <w:t>prospective employees.</w:t>
            </w:r>
            <w:r>
              <w:t xml:space="preserve"> </w:t>
            </w:r>
          </w:p>
          <w:p w:rsidR="00AD5A3B" w:rsidRPr="00453515" w:rsidRDefault="006907AA" w:rsidP="006A69CB">
            <w:pPr>
              <w:pStyle w:val="Header"/>
              <w:jc w:val="both"/>
              <w:rPr>
                <w:sz w:val="20"/>
              </w:rPr>
            </w:pPr>
          </w:p>
          <w:p w:rsidR="0049534E" w:rsidRDefault="006907AA" w:rsidP="006A69CB">
            <w:pPr>
              <w:pStyle w:val="Header"/>
              <w:jc w:val="both"/>
            </w:pPr>
            <w:r>
              <w:t>C.S.</w:t>
            </w:r>
            <w:r w:rsidRPr="00AC6907">
              <w:t xml:space="preserve">H.B. 4097 </w:t>
            </w:r>
            <w:r>
              <w:t xml:space="preserve">requires DPS to </w:t>
            </w:r>
            <w:r w:rsidRPr="00EA37A4">
              <w:t>conduct a criminal history background check on each individual whose name is provided to</w:t>
            </w:r>
            <w:r>
              <w:t xml:space="preserve"> DPS. The bill </w:t>
            </w:r>
            <w:r>
              <w:t xml:space="preserve">requires the public safety director of DPS by rule to determine the manner by which an individual is required to submit a complete set of fingerprints to </w:t>
            </w:r>
            <w:r>
              <w:t>DPS</w:t>
            </w:r>
            <w:r>
              <w:t xml:space="preserve"> for purposes of a criminal history background check and </w:t>
            </w:r>
            <w:r>
              <w:t xml:space="preserve">to </w:t>
            </w:r>
            <w:r>
              <w:t>establish criteria for determining whet</w:t>
            </w:r>
            <w:r>
              <w:t>her an individual passes the criminal history background check</w:t>
            </w:r>
            <w:r>
              <w:t xml:space="preserve">. The bill </w:t>
            </w:r>
            <w:r>
              <w:t xml:space="preserve">provides for the notification of </w:t>
            </w:r>
            <w:r>
              <w:t xml:space="preserve">HHSC and </w:t>
            </w:r>
            <w:r>
              <w:t xml:space="preserve">the applicant regarding the results of the background check. </w:t>
            </w:r>
          </w:p>
          <w:p w:rsidR="0049534E" w:rsidRPr="00453515" w:rsidRDefault="006907AA" w:rsidP="006A69CB">
            <w:pPr>
              <w:pStyle w:val="Header"/>
              <w:jc w:val="both"/>
              <w:rPr>
                <w:sz w:val="20"/>
              </w:rPr>
            </w:pPr>
          </w:p>
          <w:p w:rsidR="006845EE" w:rsidRDefault="006907AA" w:rsidP="006A69CB">
            <w:pPr>
              <w:pStyle w:val="Header"/>
              <w:jc w:val="both"/>
            </w:pPr>
            <w:r>
              <w:t>C.S.</w:t>
            </w:r>
            <w:r w:rsidRPr="00AC6907">
              <w:t xml:space="preserve">H.B. 4097 </w:t>
            </w:r>
            <w:r>
              <w:t>requires each license holder to maintain compliance with the eli</w:t>
            </w:r>
            <w:r>
              <w:t>gibility requirements</w:t>
            </w:r>
            <w:r>
              <w:t xml:space="preserve"> and continue to perform the </w:t>
            </w:r>
            <w:r>
              <w:t xml:space="preserve">medical cannabis </w:t>
            </w:r>
            <w:r>
              <w:t>research</w:t>
            </w:r>
            <w:r>
              <w:t xml:space="preserve"> required under the bill's provisions</w:t>
            </w:r>
            <w:r>
              <w:t>.</w:t>
            </w:r>
            <w:r w:rsidRPr="00AC6907">
              <w:t xml:space="preserve"> </w:t>
            </w:r>
            <w:r>
              <w:t>The bill requires the executive commissioner</w:t>
            </w:r>
            <w:r>
              <w:t xml:space="preserve"> of HHSC by rule</w:t>
            </w:r>
            <w:r>
              <w:t xml:space="preserve"> to </w:t>
            </w:r>
            <w:r w:rsidRPr="0090327E">
              <w:t xml:space="preserve">set application and licensing fees in amounts sufficient to cover the cost of </w:t>
            </w:r>
            <w:r>
              <w:t>administration</w:t>
            </w:r>
            <w:r w:rsidRPr="0090327E">
              <w:t xml:space="preserve"> </w:t>
            </w:r>
            <w:r w:rsidRPr="0090327E">
              <w:t xml:space="preserve">and </w:t>
            </w:r>
            <w:r>
              <w:t>enforcement of</w:t>
            </w:r>
            <w:r>
              <w:t xml:space="preserve"> the bill's provisions relating to medical cannabis for certain veterans</w:t>
            </w:r>
            <w:r>
              <w:t xml:space="preserve">. The bill requires HHSC to administer those provisions and requires the executive commissioner, not later than July 1, 2020, to adopt </w:t>
            </w:r>
            <w:r>
              <w:t>all</w:t>
            </w:r>
            <w:r>
              <w:t xml:space="preserve"> rules necess</w:t>
            </w:r>
            <w:r>
              <w:t xml:space="preserve">ary for </w:t>
            </w:r>
            <w:r>
              <w:t xml:space="preserve">such </w:t>
            </w:r>
            <w:r>
              <w:t xml:space="preserve">administration and </w:t>
            </w:r>
            <w:r>
              <w:t xml:space="preserve">to </w:t>
            </w:r>
            <w:r w:rsidRPr="002511BA">
              <w:t>provide copies of applications for prospective cultivating or di</w:t>
            </w:r>
            <w:r>
              <w:t xml:space="preserve">spensing organization licensees. </w:t>
            </w:r>
            <w:r>
              <w:t>The bill</w:t>
            </w:r>
            <w:r w:rsidRPr="00570869">
              <w:t xml:space="preserve"> requires HHSC to begin accepting applications </w:t>
            </w:r>
            <w:r>
              <w:t xml:space="preserve">under those provisions </w:t>
            </w:r>
            <w:r w:rsidRPr="00570869">
              <w:t>after September 1, 2020, but not later than Ja</w:t>
            </w:r>
            <w:r w:rsidRPr="00570869">
              <w:t>nuary 1, 2021.</w:t>
            </w:r>
          </w:p>
          <w:p w:rsidR="006845EE" w:rsidRPr="00453515" w:rsidRDefault="006907AA" w:rsidP="006A69CB">
            <w:pPr>
              <w:pStyle w:val="Header"/>
              <w:jc w:val="both"/>
              <w:rPr>
                <w:sz w:val="20"/>
              </w:rPr>
            </w:pPr>
          </w:p>
          <w:p w:rsidR="00AD3521" w:rsidRDefault="006907AA" w:rsidP="006A69CB">
            <w:pPr>
              <w:pStyle w:val="Header"/>
              <w:jc w:val="both"/>
            </w:pPr>
            <w:r>
              <w:t xml:space="preserve">C.S.H.B. 4097 requires each </w:t>
            </w:r>
            <w:r w:rsidRPr="00AD3521">
              <w:t xml:space="preserve">medical cannabis product of a </w:t>
            </w:r>
            <w:r w:rsidRPr="004D204F">
              <w:t>cultivating or dispensing</w:t>
            </w:r>
            <w:r>
              <w:t xml:space="preserve"> </w:t>
            </w:r>
            <w:r w:rsidRPr="00AD3521">
              <w:t>f</w:t>
            </w:r>
            <w:r>
              <w:t xml:space="preserve">acility to </w:t>
            </w:r>
            <w:r w:rsidRPr="00AD3521">
              <w:t>consistently test within five percent of the stated amount of tetrahydrocannabinol and cannabidiol on the label of the product.</w:t>
            </w:r>
            <w:r>
              <w:t xml:space="preserve"> </w:t>
            </w:r>
            <w:r w:rsidRPr="002A4CC8">
              <w:t>Medical cannabis</w:t>
            </w:r>
            <w:r w:rsidRPr="002A4CC8">
              <w:t xml:space="preserve"> products of a cultivating or dispensing facility must</w:t>
            </w:r>
            <w:r>
              <w:t xml:space="preserve"> </w:t>
            </w:r>
            <w:r w:rsidRPr="00DB0823">
              <w:t>be tested for harmful substances, including microbials, pesticides, and residual solvents.</w:t>
            </w:r>
            <w:r>
              <w:t xml:space="preserve"> The bill requires the executive commissioner to consult with the Department of Agriculture in adopting rules </w:t>
            </w:r>
            <w:r w:rsidRPr="00DB0823">
              <w:t>s</w:t>
            </w:r>
            <w:r w:rsidRPr="00DB0823">
              <w:t>etting safety standards for medical cannabis made available through a dispensary</w:t>
            </w:r>
            <w:r>
              <w:t xml:space="preserve"> under the bill's provisions</w:t>
            </w:r>
            <w:r>
              <w:t xml:space="preserve">. </w:t>
            </w:r>
            <w:r>
              <w:t>M</w:t>
            </w:r>
            <w:r>
              <w:t>edical cannabis to be dispensed</w:t>
            </w:r>
            <w:r>
              <w:t xml:space="preserve"> under those provisions must</w:t>
            </w:r>
            <w:r>
              <w:t xml:space="preserve"> be </w:t>
            </w:r>
            <w:r w:rsidRPr="00DB0823">
              <w:t xml:space="preserve">produced using good manufacturing practices, as defined by executive commissioner </w:t>
            </w:r>
            <w:r w:rsidRPr="00DB0823">
              <w:t>rule.</w:t>
            </w:r>
          </w:p>
          <w:p w:rsidR="00DB0823" w:rsidRPr="00453515" w:rsidRDefault="006907AA" w:rsidP="006A69CB">
            <w:pPr>
              <w:pStyle w:val="Header"/>
              <w:jc w:val="both"/>
              <w:rPr>
                <w:sz w:val="20"/>
              </w:rPr>
            </w:pPr>
          </w:p>
          <w:p w:rsidR="00DB0823" w:rsidRDefault="006907AA" w:rsidP="006A69CB">
            <w:pPr>
              <w:pStyle w:val="Header"/>
              <w:jc w:val="both"/>
            </w:pPr>
            <w:r>
              <w:t>C.S.</w:t>
            </w:r>
            <w:r>
              <w:t>H.B. 4097</w:t>
            </w:r>
            <w:r>
              <w:t xml:space="preserve"> </w:t>
            </w:r>
            <w:r>
              <w:t>authorizes</w:t>
            </w:r>
            <w:r>
              <w:t xml:space="preserve"> medical cannabis </w:t>
            </w:r>
            <w:r w:rsidRPr="00DB0823">
              <w:t xml:space="preserve">to </w:t>
            </w:r>
            <w:r>
              <w:t xml:space="preserve">be dispensed to </w:t>
            </w:r>
            <w:r w:rsidRPr="00DB0823">
              <w:t>veterans with a purchaser permit only as a pill, patch, oil, or other derivative form that may be produced with consistent concentrations of tetrahydrocannabinol and cannabidiol</w:t>
            </w:r>
            <w:r>
              <w:t xml:space="preserve"> and </w:t>
            </w:r>
            <w:r>
              <w:t xml:space="preserve">prohibits edible cannabis products from being in shapes or forms appealing to children. </w:t>
            </w:r>
            <w:r>
              <w:t>E</w:t>
            </w:r>
            <w:r>
              <w:t xml:space="preserve">ach product containing </w:t>
            </w:r>
            <w:r>
              <w:t xml:space="preserve">medical </w:t>
            </w:r>
            <w:r>
              <w:t xml:space="preserve">cannabis </w:t>
            </w:r>
            <w:r>
              <w:t xml:space="preserve">dispensed under the bill's provisions must </w:t>
            </w:r>
            <w:r w:rsidRPr="00DB0823">
              <w:t>bear a label that clearly states the concentrations of tetrahydrocannabinol and cann</w:t>
            </w:r>
            <w:r w:rsidRPr="00DB0823">
              <w:t>abidiol in the product.</w:t>
            </w:r>
          </w:p>
          <w:p w:rsidR="00252218" w:rsidRPr="00453515" w:rsidRDefault="006907AA" w:rsidP="006A69CB">
            <w:pPr>
              <w:pStyle w:val="Header"/>
              <w:jc w:val="both"/>
              <w:rPr>
                <w:sz w:val="20"/>
              </w:rPr>
            </w:pPr>
          </w:p>
          <w:p w:rsidR="00252218" w:rsidRDefault="006907AA" w:rsidP="006A69CB">
            <w:pPr>
              <w:pStyle w:val="Header"/>
              <w:jc w:val="both"/>
            </w:pPr>
            <w:r>
              <w:t xml:space="preserve">C.S.H.B. 4097 requires a license holder to </w:t>
            </w:r>
            <w:r w:rsidRPr="00252218">
              <w:t>annually donate at least five percent of the license holder's net profit to a nonprofit organization that focuses on getting veterans access to treatment for post-traumatic stress disorder</w:t>
            </w:r>
            <w:r w:rsidRPr="00252218">
              <w:t>.</w:t>
            </w:r>
            <w:r>
              <w:t xml:space="preserve"> The bill prohibits a </w:t>
            </w:r>
            <w:r w:rsidRPr="00FA4A18">
              <w:t>cultivating or dispensing</w:t>
            </w:r>
            <w:r>
              <w:t xml:space="preserve"> </w:t>
            </w:r>
            <w:r>
              <w:t>facility owned or operated by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 xml:space="preserve">license holder from being </w:t>
            </w:r>
            <w:r w:rsidRPr="00252218">
              <w:t>located within 1,000 feet of a primary or secondary school or day-care center that exists on the date of the license holder's initial application for</w:t>
            </w:r>
            <w:r w:rsidRPr="00252218">
              <w:t xml:space="preserve"> licensure</w:t>
            </w:r>
            <w:r>
              <w:t>.</w:t>
            </w:r>
          </w:p>
          <w:p w:rsidR="00252218" w:rsidRPr="00453515" w:rsidRDefault="006907AA" w:rsidP="006A69CB">
            <w:pPr>
              <w:pStyle w:val="Header"/>
              <w:jc w:val="both"/>
              <w:rPr>
                <w:sz w:val="20"/>
              </w:rPr>
            </w:pPr>
          </w:p>
          <w:p w:rsidR="00CF4B50" w:rsidRDefault="006907AA" w:rsidP="006A69CB">
            <w:pPr>
              <w:pStyle w:val="Header"/>
              <w:jc w:val="both"/>
            </w:pPr>
            <w:r>
              <w:t>C.S.</w:t>
            </w:r>
            <w:r>
              <w:t>H.B. 4097 authorizes a licensed organization</w:t>
            </w:r>
            <w:r>
              <w:t xml:space="preserve"> and an entity in partnership with </w:t>
            </w:r>
            <w:r>
              <w:t>the</w:t>
            </w:r>
            <w:r>
              <w:t xml:space="preserve"> organization </w:t>
            </w:r>
            <w:r>
              <w:t xml:space="preserve">that possesses medical cannabis for the purpose of </w:t>
            </w:r>
            <w:r w:rsidRPr="00A612FF">
              <w:t xml:space="preserve">research </w:t>
            </w:r>
            <w:r>
              <w:t xml:space="preserve">conducted under the bill's provisions </w:t>
            </w:r>
            <w:r>
              <w:t xml:space="preserve">to possess </w:t>
            </w:r>
            <w:r w:rsidRPr="009175EA">
              <w:t>a controlled substance under the T</w:t>
            </w:r>
            <w:r w:rsidRPr="009175EA">
              <w:t xml:space="preserve">exas Controlled Substances Act </w:t>
            </w:r>
            <w:r>
              <w:t xml:space="preserve">without registering with the </w:t>
            </w:r>
            <w:r>
              <w:t>f</w:t>
            </w:r>
            <w:r>
              <w:t>ederal Drug Enforcement</w:t>
            </w:r>
            <w:r>
              <w:t xml:space="preserve"> Administration</w:t>
            </w:r>
            <w:r>
              <w:t xml:space="preserve"> (DEA)</w:t>
            </w:r>
            <w:r>
              <w:t xml:space="preserve">. </w:t>
            </w:r>
            <w:r>
              <w:t xml:space="preserve">The bill </w:t>
            </w:r>
            <w:r>
              <w:t xml:space="preserve">establishes that certain </w:t>
            </w:r>
            <w:r>
              <w:t xml:space="preserve">offenses </w:t>
            </w:r>
            <w:r w:rsidRPr="009175EA">
              <w:t xml:space="preserve">relating to the possession and </w:t>
            </w:r>
            <w:r>
              <w:t>delivery of marihuana</w:t>
            </w:r>
            <w:r>
              <w:t xml:space="preserve"> or </w:t>
            </w:r>
            <w:r>
              <w:t xml:space="preserve">drug paraphernalia </w:t>
            </w:r>
            <w:r>
              <w:t>expressly do</w:t>
            </w:r>
            <w:r>
              <w:t xml:space="preserve"> not appl</w:t>
            </w:r>
            <w:r>
              <w:t>y</w:t>
            </w:r>
            <w:r>
              <w:t xml:space="preserve"> </w:t>
            </w:r>
            <w:r w:rsidRPr="00E46213">
              <w:t>to a per</w:t>
            </w:r>
            <w:r w:rsidRPr="00E46213">
              <w:t>son who engages in the acquisition, possession, production, cultivation, delivery, or disposal of a raw material used in or by-product created by the production or cultivation of</w:t>
            </w:r>
            <w:r>
              <w:t xml:space="preserve"> medical cannabis</w:t>
            </w:r>
            <w:r>
              <w:t xml:space="preserve"> </w:t>
            </w:r>
            <w:r>
              <w:t>and who:</w:t>
            </w:r>
          </w:p>
          <w:p w:rsidR="00CF4B50" w:rsidRDefault="006907AA" w:rsidP="006A69C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9175EA">
              <w:t>for an offense involving possession only of marihua</w:t>
            </w:r>
            <w:r w:rsidRPr="009175EA">
              <w:t>na</w:t>
            </w:r>
            <w:r>
              <w:t xml:space="preserve"> or drug paraphernalia</w:t>
            </w:r>
            <w:r>
              <w:t>,</w:t>
            </w:r>
            <w:r w:rsidRPr="009175EA">
              <w:t xml:space="preserve"> is a patient </w:t>
            </w:r>
            <w:r w:rsidRPr="00E46213">
              <w:t>who holds a purchaser permit</w:t>
            </w:r>
            <w:r>
              <w:t>;</w:t>
            </w:r>
            <w:r>
              <w:t xml:space="preserve"> </w:t>
            </w:r>
            <w:r>
              <w:t xml:space="preserve">or </w:t>
            </w:r>
          </w:p>
          <w:p w:rsidR="00252218" w:rsidRDefault="006907AA" w:rsidP="0045351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is a member of the governing authority or a manager or employee of a medical cannabis cultivating or dispensing organization or facility</w:t>
            </w:r>
            <w:r>
              <w:t xml:space="preserve">, or </w:t>
            </w:r>
            <w:r w:rsidRPr="009E697D">
              <w:t xml:space="preserve">is a person associated with an entity in </w:t>
            </w:r>
            <w:r w:rsidRPr="009E697D">
              <w:t>partnership with the organization</w:t>
            </w:r>
            <w:r>
              <w:t>,</w:t>
            </w:r>
            <w:r>
              <w:t xml:space="preserve"> and the person, solely in performing the person's duties, acquires, possesses, produces, cultivates, delivers, or disposes of</w:t>
            </w:r>
            <w:r>
              <w:t>, in reasonable quantities,</w:t>
            </w:r>
            <w:r>
              <w:t xml:space="preserve"> any medical cannabis</w:t>
            </w:r>
            <w:r>
              <w:t xml:space="preserve"> or</w:t>
            </w:r>
            <w:r>
              <w:t xml:space="preserve"> </w:t>
            </w:r>
            <w:r>
              <w:t xml:space="preserve">certain </w:t>
            </w:r>
            <w:r>
              <w:t>raw materials</w:t>
            </w:r>
            <w:r>
              <w:t xml:space="preserve">, by-products, </w:t>
            </w:r>
            <w:r>
              <w:t xml:space="preserve">or drug </w:t>
            </w:r>
            <w:r>
              <w:t>paraphernalia</w:t>
            </w:r>
            <w:r>
              <w:t>.</w:t>
            </w:r>
            <w:r>
              <w:t xml:space="preserve"> </w:t>
            </w:r>
          </w:p>
          <w:p w:rsidR="00286C3F" w:rsidRDefault="006907AA" w:rsidP="006A69CB">
            <w:pPr>
              <w:pStyle w:val="Header"/>
              <w:jc w:val="both"/>
            </w:pPr>
          </w:p>
          <w:p w:rsidR="003238E1" w:rsidRDefault="006907AA" w:rsidP="006A69CB">
            <w:pPr>
              <w:pStyle w:val="Header"/>
              <w:tabs>
                <w:tab w:val="clear" w:pos="8640"/>
                <w:tab w:val="left" w:pos="7318"/>
              </w:tabs>
              <w:jc w:val="both"/>
            </w:pPr>
            <w:r>
              <w:t xml:space="preserve">C.S.H.B. 4097 amends the Occupations Code to make </w:t>
            </w:r>
            <w:r>
              <w:t>conforming changes.</w:t>
            </w:r>
            <w:r>
              <w:tab/>
            </w:r>
          </w:p>
          <w:p w:rsidR="00DB0823" w:rsidRPr="00835628" w:rsidRDefault="006907AA" w:rsidP="006A69CB">
            <w:pPr>
              <w:pStyle w:val="Header"/>
              <w:jc w:val="both"/>
              <w:rPr>
                <w:b/>
              </w:rPr>
            </w:pPr>
          </w:p>
        </w:tc>
      </w:tr>
      <w:tr w:rsidR="008A0B6C" w:rsidTr="00345119">
        <w:tc>
          <w:tcPr>
            <w:tcW w:w="9576" w:type="dxa"/>
          </w:tcPr>
          <w:p w:rsidR="008423E4" w:rsidRPr="00A8133F" w:rsidRDefault="006907AA" w:rsidP="006A69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907AA" w:rsidP="006A69CB"/>
          <w:p w:rsidR="008423E4" w:rsidRDefault="006907AA" w:rsidP="006A69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B7899">
              <w:t>September 1, 2019.</w:t>
            </w:r>
          </w:p>
          <w:p w:rsidR="00125791" w:rsidRPr="00CF2B0D" w:rsidRDefault="006907AA" w:rsidP="006A69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A0B6C" w:rsidTr="00345119">
        <w:tc>
          <w:tcPr>
            <w:tcW w:w="9576" w:type="dxa"/>
          </w:tcPr>
          <w:p w:rsidR="008F010F" w:rsidRDefault="006907AA" w:rsidP="006A69C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C1FC1" w:rsidRDefault="006907AA" w:rsidP="006A69CB">
            <w:pPr>
              <w:jc w:val="both"/>
            </w:pPr>
          </w:p>
          <w:p w:rsidR="000C1FC1" w:rsidRDefault="006907AA" w:rsidP="006A69CB">
            <w:pPr>
              <w:jc w:val="both"/>
            </w:pPr>
            <w:r>
              <w:t xml:space="preserve">While C.S.H.B. 4097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:rsidR="000C1FC1" w:rsidRDefault="006907AA" w:rsidP="006A69CB">
            <w:pPr>
              <w:jc w:val="both"/>
            </w:pPr>
          </w:p>
          <w:p w:rsidR="00D61FBE" w:rsidRDefault="006907AA" w:rsidP="006A69CB">
            <w:pPr>
              <w:jc w:val="both"/>
            </w:pPr>
            <w:r>
              <w:t xml:space="preserve">The substitute </w:t>
            </w:r>
            <w:r w:rsidRPr="006201FF">
              <w:t>revis</w:t>
            </w:r>
            <w:r>
              <w:t>es</w:t>
            </w:r>
            <w:r w:rsidRPr="006201FF">
              <w:t xml:space="preserve"> </w:t>
            </w:r>
            <w:r>
              <w:t>the eligibility requirements for a</w:t>
            </w:r>
            <w:r>
              <w:t xml:space="preserve"> cultivating or dispensing organization</w:t>
            </w:r>
            <w:r>
              <w:t xml:space="preserve"> license</w:t>
            </w:r>
            <w:r>
              <w:t xml:space="preserve">. </w:t>
            </w:r>
            <w:r>
              <w:t xml:space="preserve">The substitute does not include provisions </w:t>
            </w:r>
            <w:r>
              <w:t xml:space="preserve">specifying the </w:t>
            </w:r>
            <w:r>
              <w:t xml:space="preserve">management or operation of such an </w:t>
            </w:r>
            <w:r>
              <w:t>organization or</w:t>
            </w:r>
            <w:r>
              <w:t xml:space="preserve"> related</w:t>
            </w:r>
            <w:r>
              <w:t xml:space="preserve"> facility</w:t>
            </w:r>
            <w:r>
              <w:t xml:space="preserve"> or </w:t>
            </w:r>
            <w:r>
              <w:t xml:space="preserve">setting out </w:t>
            </w:r>
            <w:r>
              <w:t xml:space="preserve">minimum </w:t>
            </w:r>
            <w:r>
              <w:t>application and licensing fees.</w:t>
            </w:r>
            <w:r>
              <w:t xml:space="preserve"> </w:t>
            </w:r>
          </w:p>
          <w:p w:rsidR="00D61FBE" w:rsidRDefault="006907AA" w:rsidP="006A69CB">
            <w:pPr>
              <w:jc w:val="both"/>
            </w:pPr>
          </w:p>
          <w:p w:rsidR="00463529" w:rsidRDefault="006907AA" w:rsidP="006A69CB">
            <w:pPr>
              <w:jc w:val="both"/>
            </w:pPr>
            <w:r>
              <w:t>The substitute includes provision</w:t>
            </w:r>
            <w:r>
              <w:t>s</w:t>
            </w:r>
            <w:r>
              <w:t xml:space="preserve"> requiring a cultivating or dispensing </w:t>
            </w:r>
            <w:r>
              <w:t>organization in partnership</w:t>
            </w:r>
            <w:r>
              <w:t xml:space="preserve"> with the applicable entity</w:t>
            </w:r>
            <w:r>
              <w:t>,</w:t>
            </w:r>
            <w:r>
              <w:t xml:space="preserve"> </w:t>
            </w:r>
            <w:r>
              <w:t xml:space="preserve">in order to maintain license eligibility, </w:t>
            </w:r>
            <w:r>
              <w:t xml:space="preserve">to </w:t>
            </w:r>
            <w:r>
              <w:t xml:space="preserve">conduct </w:t>
            </w:r>
            <w:r>
              <w:t xml:space="preserve">research </w:t>
            </w:r>
            <w:r>
              <w:t xml:space="preserve">on a continual basis </w:t>
            </w:r>
            <w:r>
              <w:t xml:space="preserve">to </w:t>
            </w:r>
            <w:r w:rsidRPr="008B06DF">
              <w:t>determine the potential risks and benefits of medical cannabis as a treatment for post-traumatic stress disorder</w:t>
            </w:r>
            <w:r>
              <w:t xml:space="preserve"> a</w:t>
            </w:r>
            <w:r>
              <w:t>nd providing for use of the research</w:t>
            </w:r>
            <w:r>
              <w:t>.</w:t>
            </w:r>
            <w:r>
              <w:t xml:space="preserve"> </w:t>
            </w:r>
          </w:p>
          <w:p w:rsidR="001A4B2F" w:rsidRDefault="006907AA" w:rsidP="006A69CB">
            <w:pPr>
              <w:jc w:val="both"/>
            </w:pPr>
          </w:p>
          <w:p w:rsidR="001A4B2F" w:rsidRDefault="006907AA" w:rsidP="006A69CB">
            <w:pPr>
              <w:jc w:val="both"/>
            </w:pPr>
            <w:r>
              <w:t xml:space="preserve">The substitute includes an authorization for </w:t>
            </w:r>
            <w:r w:rsidRPr="001A4B2F">
              <w:t xml:space="preserve">an entity in partnership with </w:t>
            </w:r>
            <w:r>
              <w:t>a cultivating or dispensing</w:t>
            </w:r>
            <w:r w:rsidRPr="001A4B2F">
              <w:t xml:space="preserve"> organization</w:t>
            </w:r>
            <w:r>
              <w:t xml:space="preserve"> </w:t>
            </w:r>
            <w:r w:rsidRPr="001C3A1D">
              <w:t>that possesses medical cannabis for the purpose of research conducted under the bill's provisions to</w:t>
            </w:r>
            <w:r w:rsidRPr="001C3A1D">
              <w:t xml:space="preserve"> possess a controlled substance under the Texas Controlled Substances Act without registering with the </w:t>
            </w:r>
            <w:r>
              <w:t>DEA</w:t>
            </w:r>
            <w:r>
              <w:t>.</w:t>
            </w:r>
          </w:p>
          <w:p w:rsidR="001A4B2F" w:rsidRDefault="006907AA" w:rsidP="006A69CB">
            <w:pPr>
              <w:jc w:val="both"/>
            </w:pPr>
          </w:p>
          <w:p w:rsidR="001A4B2F" w:rsidRDefault="006907AA" w:rsidP="006A69CB">
            <w:pPr>
              <w:jc w:val="both"/>
            </w:pPr>
            <w:r>
              <w:t xml:space="preserve">The substitute </w:t>
            </w:r>
            <w:r>
              <w:t>establish</w:t>
            </w:r>
            <w:r>
              <w:t>es</w:t>
            </w:r>
            <w:r>
              <w:t xml:space="preserve"> that</w:t>
            </w:r>
            <w:r>
              <w:t xml:space="preserve"> </w:t>
            </w:r>
            <w:r w:rsidRPr="001A4B2F">
              <w:t>certain offenses relating to the possession and delivery of marihuana or drug paraphernalia</w:t>
            </w:r>
            <w:r>
              <w:t xml:space="preserve"> </w:t>
            </w:r>
            <w:r w:rsidRPr="001C3A1D">
              <w:t xml:space="preserve">expressly do not apply </w:t>
            </w:r>
            <w:r w:rsidRPr="001C3A1D">
              <w:t>to a person who engages in the acquisition, possession, production, cultivation, delivery, or disposal of a raw material used in or by-product created by the production or cultiv</w:t>
            </w:r>
            <w:r>
              <w:t xml:space="preserve">ation of medical cannabis and </w:t>
            </w:r>
            <w:r>
              <w:t xml:space="preserve">who is </w:t>
            </w:r>
            <w:r w:rsidRPr="00091252">
              <w:t>a person associated with an entity in par</w:t>
            </w:r>
            <w:r w:rsidRPr="00091252">
              <w:t xml:space="preserve">tnership with a cultivating or dispensing organizing and </w:t>
            </w:r>
            <w:r>
              <w:t xml:space="preserve">the person, </w:t>
            </w:r>
            <w:r w:rsidRPr="00091252">
              <w:t>solely in the performance of the person's duties performing research</w:t>
            </w:r>
            <w:r>
              <w:t xml:space="preserve">, </w:t>
            </w:r>
            <w:r w:rsidRPr="00096B18">
              <w:t>acquires, possesses, produces, cultivates, delivers, or disposes of, in reasonable quantities, any medical cannabis o</w:t>
            </w:r>
            <w:r w:rsidRPr="00096B18">
              <w:t>r certain raw materials, by-products, or drug paraphernalia</w:t>
            </w:r>
            <w:r>
              <w:t xml:space="preserve">.  </w:t>
            </w:r>
          </w:p>
          <w:p w:rsidR="000C1FC1" w:rsidRPr="000C1FC1" w:rsidRDefault="006907AA" w:rsidP="006A69CB">
            <w:pPr>
              <w:jc w:val="both"/>
            </w:pPr>
          </w:p>
        </w:tc>
      </w:tr>
      <w:tr w:rsidR="008A0B6C" w:rsidTr="00345119">
        <w:tc>
          <w:tcPr>
            <w:tcW w:w="9576" w:type="dxa"/>
          </w:tcPr>
          <w:p w:rsidR="008F010F" w:rsidRDefault="006907AA" w:rsidP="006A69CB">
            <w:pPr>
              <w:rPr>
                <w:b/>
                <w:u w:val="single"/>
              </w:rPr>
            </w:pPr>
          </w:p>
        </w:tc>
      </w:tr>
      <w:tr w:rsidR="008A0B6C" w:rsidTr="00345119">
        <w:tc>
          <w:tcPr>
            <w:tcW w:w="9576" w:type="dxa"/>
          </w:tcPr>
          <w:p w:rsidR="008F010F" w:rsidRPr="008F010F" w:rsidRDefault="006907AA" w:rsidP="006A69CB">
            <w:pPr>
              <w:jc w:val="both"/>
            </w:pPr>
          </w:p>
        </w:tc>
      </w:tr>
    </w:tbl>
    <w:p w:rsidR="008423E4" w:rsidRPr="00BE0E75" w:rsidRDefault="006907A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907A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07AA">
      <w:r>
        <w:separator/>
      </w:r>
    </w:p>
  </w:endnote>
  <w:endnote w:type="continuationSeparator" w:id="0">
    <w:p w:rsidR="00000000" w:rsidRDefault="0069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0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A0B6C" w:rsidTr="009C1E9A">
      <w:trPr>
        <w:cantSplit/>
      </w:trPr>
      <w:tc>
        <w:tcPr>
          <w:tcW w:w="0" w:type="pct"/>
        </w:tcPr>
        <w:p w:rsidR="00137D90" w:rsidRDefault="006907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907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907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907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907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0B6C" w:rsidTr="009C1E9A">
      <w:trPr>
        <w:cantSplit/>
      </w:trPr>
      <w:tc>
        <w:tcPr>
          <w:tcW w:w="0" w:type="pct"/>
        </w:tcPr>
        <w:p w:rsidR="00EC379B" w:rsidRDefault="006907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907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29811</w:t>
          </w:r>
        </w:p>
      </w:tc>
      <w:tc>
        <w:tcPr>
          <w:tcW w:w="2453" w:type="pct"/>
        </w:tcPr>
        <w:p w:rsidR="00EC379B" w:rsidRDefault="006907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19.116.209</w:t>
          </w:r>
          <w:r>
            <w:fldChar w:fldCharType="end"/>
          </w:r>
        </w:p>
      </w:tc>
    </w:tr>
    <w:tr w:rsidR="008A0B6C" w:rsidTr="009C1E9A">
      <w:trPr>
        <w:cantSplit/>
      </w:trPr>
      <w:tc>
        <w:tcPr>
          <w:tcW w:w="0" w:type="pct"/>
        </w:tcPr>
        <w:p w:rsidR="00EC379B" w:rsidRDefault="006907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907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26070</w:t>
          </w:r>
        </w:p>
      </w:tc>
      <w:tc>
        <w:tcPr>
          <w:tcW w:w="2453" w:type="pct"/>
        </w:tcPr>
        <w:p w:rsidR="00EC379B" w:rsidRDefault="006907AA" w:rsidP="006D504F">
          <w:pPr>
            <w:pStyle w:val="Footer"/>
            <w:rPr>
              <w:rStyle w:val="PageNumber"/>
            </w:rPr>
          </w:pPr>
        </w:p>
        <w:p w:rsidR="00EC379B" w:rsidRDefault="006907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0B6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907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6907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907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0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07AA">
      <w:r>
        <w:separator/>
      </w:r>
    </w:p>
  </w:footnote>
  <w:footnote w:type="continuationSeparator" w:id="0">
    <w:p w:rsidR="00000000" w:rsidRDefault="0069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0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0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0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2793"/>
    <w:multiLevelType w:val="hybridMultilevel"/>
    <w:tmpl w:val="E1D432D0"/>
    <w:lvl w:ilvl="0" w:tplc="66E86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05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78D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2F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C2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B68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47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EE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C1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023E"/>
    <w:multiLevelType w:val="hybridMultilevel"/>
    <w:tmpl w:val="6CE64712"/>
    <w:lvl w:ilvl="0" w:tplc="EB32A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06D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FE8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EA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AD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C6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6C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C4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06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6C"/>
    <w:rsid w:val="006907AA"/>
    <w:rsid w:val="008A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2D15B8-2B12-4299-893E-726BD9BD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68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8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6E"/>
    <w:rPr>
      <w:b/>
      <w:bCs/>
    </w:rPr>
  </w:style>
  <w:style w:type="paragraph" w:styleId="Revision">
    <w:name w:val="Revision"/>
    <w:hidden/>
    <w:uiPriority w:val="99"/>
    <w:semiHidden/>
    <w:rsid w:val="00F76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8247</Characters>
  <Application>Microsoft Office Word</Application>
  <DocSecurity>4</DocSecurity>
  <Lines>157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HB04097 (Committee Report (Substituted))</vt:lpstr>
    </vt:vector>
  </TitlesOfParts>
  <Company>State of Texas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29811</dc:subject>
  <dc:creator>State of Texas</dc:creator>
  <dc:description>HB 4097 by Blanco-(H)Public Health (Substitute Document Number: 86R 26070)</dc:description>
  <cp:lastModifiedBy>Erin Conway</cp:lastModifiedBy>
  <cp:revision>2</cp:revision>
  <cp:lastPrinted>2003-11-26T17:21:00Z</cp:lastPrinted>
  <dcterms:created xsi:type="dcterms:W3CDTF">2019-04-30T22:50:00Z</dcterms:created>
  <dcterms:modified xsi:type="dcterms:W3CDTF">2019-04-30T22:50:00Z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19.116.209</vt:lpwstr>
  </property>
</Properties>
</file>