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0EB0" w:rsidTr="00345119">
        <w:tc>
          <w:tcPr>
            <w:tcW w:w="9576" w:type="dxa"/>
            <w:noWrap/>
          </w:tcPr>
          <w:p w:rsidR="008423E4" w:rsidRPr="0022177D" w:rsidRDefault="008F59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5921" w:rsidP="008423E4">
      <w:pPr>
        <w:jc w:val="center"/>
      </w:pPr>
    </w:p>
    <w:p w:rsidR="008423E4" w:rsidRPr="00B31F0E" w:rsidRDefault="008F5921" w:rsidP="008423E4"/>
    <w:p w:rsidR="008423E4" w:rsidRPr="00742794" w:rsidRDefault="008F59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0EB0" w:rsidTr="00345119">
        <w:tc>
          <w:tcPr>
            <w:tcW w:w="9576" w:type="dxa"/>
          </w:tcPr>
          <w:p w:rsidR="008423E4" w:rsidRPr="00861995" w:rsidRDefault="008F5921" w:rsidP="00345119">
            <w:pPr>
              <w:jc w:val="right"/>
            </w:pPr>
            <w:r>
              <w:t>C.S.H.B. 4104</w:t>
            </w:r>
          </w:p>
        </w:tc>
      </w:tr>
      <w:tr w:rsidR="00FC0EB0" w:rsidTr="00345119">
        <w:tc>
          <w:tcPr>
            <w:tcW w:w="9576" w:type="dxa"/>
          </w:tcPr>
          <w:p w:rsidR="008423E4" w:rsidRPr="00861995" w:rsidRDefault="008F5921" w:rsidP="002E24A6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FC0EB0" w:rsidTr="00345119">
        <w:tc>
          <w:tcPr>
            <w:tcW w:w="9576" w:type="dxa"/>
          </w:tcPr>
          <w:p w:rsidR="008423E4" w:rsidRPr="00861995" w:rsidRDefault="008F5921" w:rsidP="00345119">
            <w:pPr>
              <w:jc w:val="right"/>
            </w:pPr>
            <w:r>
              <w:t>Corrections</w:t>
            </w:r>
          </w:p>
        </w:tc>
      </w:tr>
      <w:tr w:rsidR="00FC0EB0" w:rsidTr="00345119">
        <w:tc>
          <w:tcPr>
            <w:tcW w:w="9576" w:type="dxa"/>
          </w:tcPr>
          <w:p w:rsidR="008423E4" w:rsidRDefault="008F592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5921" w:rsidP="008423E4">
      <w:pPr>
        <w:tabs>
          <w:tab w:val="right" w:pos="9360"/>
        </w:tabs>
      </w:pPr>
    </w:p>
    <w:p w:rsidR="008423E4" w:rsidRDefault="008F5921" w:rsidP="008423E4"/>
    <w:p w:rsidR="008423E4" w:rsidRDefault="008F59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0EB0" w:rsidTr="00345119">
        <w:tc>
          <w:tcPr>
            <w:tcW w:w="9576" w:type="dxa"/>
          </w:tcPr>
          <w:p w:rsidR="008423E4" w:rsidRPr="00A8133F" w:rsidRDefault="008F5921" w:rsidP="0027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5921" w:rsidP="002756B5"/>
          <w:p w:rsidR="008423E4" w:rsidRDefault="008F5921" w:rsidP="0027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suggested </w:t>
            </w:r>
            <w:r>
              <w:t xml:space="preserve">that </w:t>
            </w:r>
            <w:r>
              <w:t>alternative sentencing options</w:t>
            </w:r>
            <w:r>
              <w:t xml:space="preserve">, as well as counseling services and other resources provided through </w:t>
            </w:r>
            <w:r>
              <w:t>rehabilitation programs,</w:t>
            </w:r>
            <w:r>
              <w:t xml:space="preserve"> should be available for some</w:t>
            </w:r>
            <w:r w:rsidRPr="00B330A0">
              <w:t xml:space="preserve"> defendants who are charged with prostitution. </w:t>
            </w:r>
            <w:r>
              <w:t>C.S.</w:t>
            </w:r>
            <w:r w:rsidRPr="00B330A0">
              <w:t>H</w:t>
            </w:r>
            <w:r>
              <w:t>.</w:t>
            </w:r>
            <w:r w:rsidRPr="00B330A0">
              <w:t>B</w:t>
            </w:r>
            <w:r>
              <w:t>.</w:t>
            </w:r>
            <w:r w:rsidRPr="00B330A0">
              <w:t xml:space="preserve"> 4104</w:t>
            </w:r>
            <w:r>
              <w:t xml:space="preserve"> seeks to address this issue by providing for</w:t>
            </w:r>
            <w:r>
              <w:t xml:space="preserve"> the</w:t>
            </w:r>
            <w:r>
              <w:t xml:space="preserve"> </w:t>
            </w:r>
            <w:r>
              <w:t>creation of a rehabilitation program for certain prostitution offenders placed on community s</w:t>
            </w:r>
            <w:r>
              <w:t>upervision</w:t>
            </w:r>
            <w:r>
              <w:t xml:space="preserve"> and for</w:t>
            </w:r>
            <w:r>
              <w:t xml:space="preserve"> an order of expunction for certain offenders after successful completion of </w:t>
            </w:r>
            <w:r>
              <w:t>certain programming</w:t>
            </w:r>
            <w:r w:rsidRPr="00B330A0">
              <w:t>.</w:t>
            </w:r>
          </w:p>
          <w:p w:rsidR="008423E4" w:rsidRPr="00E26B13" w:rsidRDefault="008F5921" w:rsidP="002756B5">
            <w:pPr>
              <w:rPr>
                <w:b/>
              </w:rPr>
            </w:pPr>
          </w:p>
        </w:tc>
      </w:tr>
      <w:tr w:rsidR="00FC0EB0" w:rsidTr="00345119">
        <w:tc>
          <w:tcPr>
            <w:tcW w:w="9576" w:type="dxa"/>
          </w:tcPr>
          <w:p w:rsidR="0017725B" w:rsidRDefault="008F5921" w:rsidP="002756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5921" w:rsidP="002756B5">
            <w:pPr>
              <w:rPr>
                <w:b/>
                <w:u w:val="single"/>
              </w:rPr>
            </w:pPr>
          </w:p>
          <w:p w:rsidR="006552AF" w:rsidRPr="006552AF" w:rsidRDefault="008F5921" w:rsidP="002756B5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8F5921" w:rsidP="002756B5">
            <w:pPr>
              <w:rPr>
                <w:b/>
                <w:u w:val="single"/>
              </w:rPr>
            </w:pPr>
          </w:p>
        </w:tc>
      </w:tr>
      <w:tr w:rsidR="00FC0EB0" w:rsidTr="00345119">
        <w:tc>
          <w:tcPr>
            <w:tcW w:w="9576" w:type="dxa"/>
          </w:tcPr>
          <w:p w:rsidR="008423E4" w:rsidRPr="00A8133F" w:rsidRDefault="008F5921" w:rsidP="0027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5921" w:rsidP="002756B5"/>
          <w:p w:rsidR="00AA4657" w:rsidRDefault="008F5921" w:rsidP="0027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8F5921" w:rsidP="002756B5">
            <w:pPr>
              <w:rPr>
                <w:b/>
              </w:rPr>
            </w:pPr>
          </w:p>
        </w:tc>
      </w:tr>
      <w:tr w:rsidR="00FC0EB0" w:rsidTr="00345119">
        <w:tc>
          <w:tcPr>
            <w:tcW w:w="9576" w:type="dxa"/>
          </w:tcPr>
          <w:p w:rsidR="008423E4" w:rsidRPr="00A8133F" w:rsidRDefault="008F5921" w:rsidP="0027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5921" w:rsidP="002756B5"/>
          <w:p w:rsidR="00C82017" w:rsidRDefault="008F5921" w:rsidP="0027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C82017">
              <w:t xml:space="preserve">H.B. 4104 </w:t>
            </w:r>
            <w:r>
              <w:t xml:space="preserve">amends the Government Code to </w:t>
            </w:r>
            <w:r w:rsidRPr="00C82017">
              <w:t xml:space="preserve">require </w:t>
            </w:r>
            <w:r>
              <w:t>the Texas Department of Criminal Justice</w:t>
            </w:r>
            <w:r>
              <w:t>, in consultation with</w:t>
            </w:r>
            <w:r>
              <w:t xml:space="preserve"> the Health and Human Services Commission</w:t>
            </w:r>
            <w:r>
              <w:t>,</w:t>
            </w:r>
            <w:r>
              <w:t xml:space="preserve"> </w:t>
            </w:r>
            <w:r w:rsidRPr="00C82017">
              <w:t>to establish</w:t>
            </w:r>
            <w:r>
              <w:t>, not later than September 1, 2020,</w:t>
            </w:r>
            <w:r w:rsidRPr="00C82017">
              <w:t xml:space="preserve"> </w:t>
            </w:r>
            <w:r w:rsidRPr="00C82017">
              <w:t>and administer</w:t>
            </w:r>
            <w:r>
              <w:t xml:space="preserve"> </w:t>
            </w:r>
            <w:r w:rsidRPr="00C82017">
              <w:t xml:space="preserve">a rehabilitation program for </w:t>
            </w:r>
            <w:r>
              <w:t>certain prostitution offenders</w:t>
            </w:r>
            <w:r w:rsidRPr="00C82017">
              <w:t xml:space="preserve"> </w:t>
            </w:r>
            <w:r w:rsidRPr="00C82017">
              <w:t xml:space="preserve">placed on community supervision and required </w:t>
            </w:r>
            <w:r>
              <w:t xml:space="preserve">by a judge </w:t>
            </w:r>
            <w:r w:rsidRPr="00C82017">
              <w:t>to participate in the program unde</w:t>
            </w:r>
            <w:r w:rsidRPr="00C82017">
              <w:t xml:space="preserve">r the bill's provisions. </w:t>
            </w:r>
            <w:r>
              <w:t xml:space="preserve">The bill </w:t>
            </w:r>
            <w:r>
              <w:t xml:space="preserve">sets out requirements for </w:t>
            </w:r>
            <w:r>
              <w:t>the program.</w:t>
            </w:r>
          </w:p>
          <w:p w:rsidR="00A43ECF" w:rsidRDefault="008F5921" w:rsidP="0027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A306B" w:rsidRDefault="008F5921" w:rsidP="002756B5">
            <w:pPr>
              <w:pStyle w:val="Header"/>
              <w:jc w:val="both"/>
            </w:pPr>
            <w:r>
              <w:t>C.S.</w:t>
            </w:r>
            <w:r>
              <w:t>H.B. 4104</w:t>
            </w:r>
            <w:r>
              <w:t xml:space="preserve"> </w:t>
            </w:r>
            <w:r>
              <w:t>requires</w:t>
            </w:r>
            <w:r>
              <w:t>,</w:t>
            </w:r>
            <w:r>
              <w:t xml:space="preserve"> with regard to a defendant who was arrested for or charged with</w:t>
            </w:r>
            <w:r>
              <w:t xml:space="preserve"> </w:t>
            </w:r>
            <w:r>
              <w:t xml:space="preserve">but not convicted of or placed on deferred adjudication community supervision for </w:t>
            </w:r>
            <w:r>
              <w:t xml:space="preserve">an </w:t>
            </w:r>
            <w:r>
              <w:t xml:space="preserve">offense </w:t>
            </w:r>
            <w:r>
              <w:t>a</w:t>
            </w:r>
            <w:r>
              <w:t xml:space="preserve">nd who </w:t>
            </w:r>
            <w:r w:rsidRPr="00903C66">
              <w:t xml:space="preserve">successfully completes </w:t>
            </w:r>
            <w:r>
              <w:t>the applicable</w:t>
            </w:r>
            <w:r w:rsidRPr="00903C66">
              <w:t xml:space="preserve"> commercially sexually exploited persons court program</w:t>
            </w:r>
            <w:r>
              <w:t>:</w:t>
            </w:r>
          </w:p>
          <w:p w:rsidR="008A306B" w:rsidRDefault="008F5921" w:rsidP="002756B5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</w:t>
            </w:r>
            <w:r>
              <w:t>commercially sexually exploited persons</w:t>
            </w:r>
            <w:r>
              <w:t xml:space="preserve"> court</w:t>
            </w:r>
            <w:r>
              <w:t>,</w:t>
            </w:r>
            <w:r>
              <w:t xml:space="preserve"> </w:t>
            </w:r>
            <w:r w:rsidRPr="00903C66">
              <w:t xml:space="preserve">after notice to the attorney representing the state and a hearing at which that court determines </w:t>
            </w:r>
            <w:r>
              <w:t xml:space="preserve">that </w:t>
            </w:r>
            <w:r w:rsidRPr="00903C66">
              <w:t xml:space="preserve">a dismissal is in the best interest </w:t>
            </w:r>
            <w:r>
              <w:t>of justice</w:t>
            </w:r>
            <w:r>
              <w:t xml:space="preserve">, </w:t>
            </w:r>
            <w:r>
              <w:t>to</w:t>
            </w:r>
            <w:r w:rsidRPr="00903C66">
              <w:t xml:space="preserve"> provide to the court in which the criminal case is pending</w:t>
            </w:r>
            <w:r w:rsidRPr="00903C66">
              <w:t xml:space="preserve"> </w:t>
            </w:r>
            <w:r w:rsidRPr="00903C66">
              <w:t>informati</w:t>
            </w:r>
            <w:r>
              <w:t>on about the dismissal</w:t>
            </w:r>
            <w:r>
              <w:t xml:space="preserve">, </w:t>
            </w:r>
            <w:r w:rsidRPr="00903C66">
              <w:t>includ</w:t>
            </w:r>
            <w:r>
              <w:t>ing</w:t>
            </w:r>
            <w:r w:rsidRPr="00903C66">
              <w:t xml:space="preserve"> all of the information required about the defendan</w:t>
            </w:r>
            <w:r>
              <w:t>t for a petition for expunction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AD21FB" w:rsidRDefault="008F5921" w:rsidP="002756B5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court in whi</w:t>
            </w:r>
            <w:r>
              <w:t xml:space="preserve">ch the criminal case is pending to dismiss the case against the defendant </w:t>
            </w:r>
            <w:r>
              <w:t xml:space="preserve">and </w:t>
            </w:r>
            <w:r>
              <w:t xml:space="preserve">authorizes </w:t>
            </w:r>
            <w:r>
              <w:t>the court to take the following actions:</w:t>
            </w:r>
          </w:p>
          <w:p w:rsidR="00AD21FB" w:rsidRDefault="008F5921" w:rsidP="002756B5">
            <w:pPr>
              <w:pStyle w:val="Header"/>
              <w:numPr>
                <w:ilvl w:val="1"/>
                <w:numId w:val="3"/>
              </w:numPr>
              <w:spacing w:before="120" w:after="120"/>
              <w:jc w:val="both"/>
            </w:pPr>
            <w:r>
              <w:t>if th</w:t>
            </w:r>
            <w:r>
              <w:t>e</w:t>
            </w:r>
            <w:r>
              <w:t xml:space="preserve"> trial court is a district court, to enter an order of expunction on behalf of the defendant under the bill's provisions</w:t>
            </w:r>
            <w:r>
              <w:t xml:space="preserve"> </w:t>
            </w:r>
            <w:r w:rsidRPr="00903C66">
              <w:t>with the consent of the attorney representing the state</w:t>
            </w:r>
            <w:r>
              <w:t>;</w:t>
            </w:r>
            <w:r>
              <w:t xml:space="preserve"> or </w:t>
            </w:r>
          </w:p>
          <w:p w:rsidR="00A43ECF" w:rsidRDefault="008F5921" w:rsidP="002756B5">
            <w:pPr>
              <w:pStyle w:val="Header"/>
              <w:numPr>
                <w:ilvl w:val="1"/>
                <w:numId w:val="3"/>
              </w:numPr>
              <w:spacing w:before="120" w:after="120"/>
              <w:jc w:val="both"/>
            </w:pPr>
            <w:r>
              <w:t>if t</w:t>
            </w:r>
            <w:r>
              <w:t>he</w:t>
            </w:r>
            <w:r>
              <w:t xml:space="preserve"> trial court is not a district court, to forward </w:t>
            </w:r>
            <w:r w:rsidRPr="00903C66">
              <w:t>with the consent of the attorney representing the state</w:t>
            </w:r>
            <w:r>
              <w:t xml:space="preserve"> </w:t>
            </w:r>
            <w:r>
              <w:t>the appropriate dismissal and expunction information to enable a district court wit</w:t>
            </w:r>
            <w:r>
              <w:t>h jurisdiction to enter an order of expunction on behalf of the defendant under the bill's provisions.</w:t>
            </w:r>
          </w:p>
          <w:p w:rsidR="001B5BD2" w:rsidRDefault="008F5921" w:rsidP="0027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F5921" w:rsidP="0027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4104</w:t>
            </w:r>
            <w:r>
              <w:t xml:space="preserve"> amends the Code of Criminal Procedure to</w:t>
            </w:r>
            <w:r>
              <w:t xml:space="preserve"> require a judge, on a defendant's convictio</w:t>
            </w:r>
            <w:r>
              <w:t xml:space="preserve">n </w:t>
            </w:r>
            <w:r>
              <w:t xml:space="preserve">for the offense of </w:t>
            </w:r>
            <w:r w:rsidRPr="006F29AE">
              <w:t xml:space="preserve">knowingly </w:t>
            </w:r>
            <w:r w:rsidRPr="006F29AE">
              <w:t>offer</w:t>
            </w:r>
            <w:r>
              <w:t>ing</w:t>
            </w:r>
            <w:r w:rsidRPr="006F29AE">
              <w:t xml:space="preserve"> </w:t>
            </w:r>
            <w:r w:rsidRPr="006F29AE">
              <w:t>or agree</w:t>
            </w:r>
            <w:r>
              <w:t>ing</w:t>
            </w:r>
            <w:r w:rsidRPr="006F29AE">
              <w:t xml:space="preserve"> to</w:t>
            </w:r>
            <w:r w:rsidRPr="006F29AE">
              <w:t xml:space="preserve"> receive a fee to engage in sexual conduct</w:t>
            </w:r>
            <w:r>
              <w:t xml:space="preserve"> punishable as</w:t>
            </w:r>
            <w:r>
              <w:t xml:space="preserve"> </w:t>
            </w:r>
            <w:r>
              <w:t>a state jail felony prostitution offense due to certain previous prostitution convictions</w:t>
            </w:r>
            <w:r>
              <w:t>, to suspend the imposition of the sentence and place the defendant on community supervision. The</w:t>
            </w:r>
            <w:r>
              <w:t xml:space="preserve"> bill restricts eligibility for such suspension and placement to a defendant </w:t>
            </w:r>
            <w:r>
              <w:t xml:space="preserve">who has </w:t>
            </w:r>
            <w:r>
              <w:t xml:space="preserve">not </w:t>
            </w:r>
            <w:r>
              <w:t xml:space="preserve">been </w:t>
            </w:r>
            <w:r>
              <w:t>previously</w:t>
            </w:r>
            <w:r>
              <w:t xml:space="preserve"> convict</w:t>
            </w:r>
            <w:r>
              <w:t>ed</w:t>
            </w:r>
            <w:r>
              <w:t xml:space="preserve"> </w:t>
            </w:r>
            <w:r>
              <w:t xml:space="preserve">three or more times </w:t>
            </w:r>
            <w:r>
              <w:t xml:space="preserve">of </w:t>
            </w:r>
            <w:r>
              <w:t>a prostitution offense based on other conduct punishable as</w:t>
            </w:r>
            <w:r>
              <w:t xml:space="preserve"> a state jail felony</w:t>
            </w:r>
            <w:r>
              <w:t>.</w:t>
            </w:r>
            <w:r>
              <w:t xml:space="preserve"> The bill requires the judge </w:t>
            </w:r>
            <w:r>
              <w:t>who place</w:t>
            </w:r>
            <w:r>
              <w:t xml:space="preserve">s such a defendant on community supervision </w:t>
            </w:r>
            <w:r>
              <w:t xml:space="preserve">to require, as a condition of community supervision, that the defendant submit to a term of confinement </w:t>
            </w:r>
            <w:r>
              <w:t xml:space="preserve">in a state jail felony facility and, while confined, participate in the rehabilitation program </w:t>
            </w:r>
            <w:r>
              <w:t xml:space="preserve">established </w:t>
            </w:r>
            <w:r>
              <w:t>u</w:t>
            </w:r>
            <w:r>
              <w:t>nder the bill's provi</w:t>
            </w:r>
            <w:r>
              <w:t>sions. These provisions apply only to an offense committed on or after September 1, 2020.</w:t>
            </w:r>
            <w:r>
              <w:t xml:space="preserve"> </w:t>
            </w:r>
          </w:p>
          <w:p w:rsidR="007333F5" w:rsidRDefault="008F5921" w:rsidP="0027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564ED" w:rsidRDefault="008F5921" w:rsidP="002756B5">
            <w:pPr>
              <w:pStyle w:val="Header"/>
              <w:jc w:val="both"/>
            </w:pPr>
            <w:r>
              <w:t>C.S.</w:t>
            </w:r>
            <w:r>
              <w:t xml:space="preserve">H.B. 4104 </w:t>
            </w:r>
            <w:r w:rsidRPr="00D953EC">
              <w:t>entitle</w:t>
            </w:r>
            <w:r>
              <w:t>s</w:t>
            </w:r>
            <w:r w:rsidRPr="00D953EC">
              <w:t xml:space="preserve"> a person </w:t>
            </w:r>
            <w:r>
              <w:t xml:space="preserve">who completed a commercially sexually exploited persons court program </w:t>
            </w:r>
            <w:r w:rsidRPr="00D953EC">
              <w:t xml:space="preserve">to </w:t>
            </w:r>
            <w:r>
              <w:t xml:space="preserve">an </w:t>
            </w:r>
            <w:r w:rsidRPr="00D953EC">
              <w:t xml:space="preserve">expunction of arrest </w:t>
            </w:r>
            <w:r>
              <w:t xml:space="preserve">records and files only if, </w:t>
            </w:r>
            <w:r w:rsidRPr="00041C37">
              <w:t>meeting</w:t>
            </w:r>
            <w:r>
              <w:t xml:space="preserve"> other applicable requirements for expunction</w:t>
            </w:r>
            <w:r>
              <w:t>, the person</w:t>
            </w:r>
            <w:r>
              <w:t>:</w:t>
            </w:r>
          </w:p>
          <w:p w:rsidR="009564ED" w:rsidRPr="00031D57" w:rsidRDefault="008F5921" w:rsidP="002756B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  <w:rPr>
                <w:b/>
              </w:rPr>
            </w:pPr>
            <w:r>
              <w:t xml:space="preserve">has not previously received an expunction </w:t>
            </w:r>
            <w:r>
              <w:t>for completing such a program</w:t>
            </w:r>
            <w:r>
              <w:t>;</w:t>
            </w:r>
            <w:r>
              <w:t xml:space="preserve"> and </w:t>
            </w:r>
          </w:p>
          <w:p w:rsidR="001C647A" w:rsidRPr="00031D57" w:rsidRDefault="008F5921" w:rsidP="002756B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  <w:rPr>
                <w:b/>
              </w:rPr>
            </w:pPr>
            <w:r>
              <w:t>submits to the court an affidavit attesting to that fact.</w:t>
            </w:r>
            <w:r>
              <w:t xml:space="preserve"> </w:t>
            </w:r>
          </w:p>
          <w:p w:rsidR="001620E4" w:rsidRDefault="008F5921" w:rsidP="002756B5">
            <w:pPr>
              <w:pStyle w:val="Header"/>
              <w:spacing w:before="120" w:after="120"/>
              <w:jc w:val="both"/>
            </w:pPr>
          </w:p>
          <w:p w:rsidR="008423E4" w:rsidRDefault="008F5921" w:rsidP="002756B5">
            <w:pPr>
              <w:pStyle w:val="Header"/>
              <w:spacing w:before="120" w:after="120"/>
              <w:jc w:val="both"/>
              <w:rPr>
                <w:b/>
              </w:rPr>
            </w:pPr>
            <w:r>
              <w:t>C.S.</w:t>
            </w:r>
            <w:r>
              <w:t>H.B. 4104</w:t>
            </w:r>
            <w:r>
              <w:t xml:space="preserve"> authorizes</w:t>
            </w:r>
            <w:r>
              <w:t xml:space="preserve"> </w:t>
            </w:r>
            <w:r>
              <w:t>the appropriate</w:t>
            </w:r>
            <w:r>
              <w:t xml:space="preserve"> </w:t>
            </w:r>
            <w:r w:rsidRPr="0098336F">
              <w:t xml:space="preserve">trial court </w:t>
            </w:r>
            <w:r>
              <w:t xml:space="preserve">or district court dismissing a case following a person's successful completion of </w:t>
            </w:r>
            <w:r>
              <w:t>a commercially sexually exploited persons court program,</w:t>
            </w:r>
            <w:r w:rsidRPr="0098336F">
              <w:t xml:space="preserve"> with the consent of the attorney representing the state,</w:t>
            </w:r>
            <w:r>
              <w:t xml:space="preserve"> to</w:t>
            </w:r>
            <w:r w:rsidRPr="0098336F">
              <w:t xml:space="preserve"> enter an order of expunction for </w:t>
            </w:r>
            <w:r>
              <w:t>the</w:t>
            </w:r>
            <w:r w:rsidRPr="0098336F">
              <w:t xml:space="preserve"> </w:t>
            </w:r>
            <w:r w:rsidRPr="0098336F">
              <w:t xml:space="preserve">person </w:t>
            </w:r>
            <w:r>
              <w:t>not later than the 30th day after the date the court dismisses the case or receives the information regarding that dismissal, as applicable</w:t>
            </w:r>
            <w:r w:rsidRPr="0098336F">
              <w:t xml:space="preserve">. </w:t>
            </w:r>
            <w:r>
              <w:t>The bill prohibits</w:t>
            </w:r>
            <w:r w:rsidRPr="0098336F">
              <w:t xml:space="preserve"> </w:t>
            </w:r>
            <w:r>
              <w:t xml:space="preserve">such </w:t>
            </w:r>
            <w:r w:rsidRPr="0098336F">
              <w:t xml:space="preserve">a court </w:t>
            </w:r>
            <w:r>
              <w:t>from charging</w:t>
            </w:r>
            <w:r w:rsidRPr="0098336F">
              <w:t xml:space="preserve"> any fee or assess</w:t>
            </w:r>
            <w:r>
              <w:t>ing</w:t>
            </w:r>
            <w:r w:rsidRPr="0098336F">
              <w:t xml:space="preserve"> any</w:t>
            </w:r>
            <w:r w:rsidRPr="0098336F">
              <w:t xml:space="preserve"> cost for the expunction.</w:t>
            </w:r>
            <w:r>
              <w:t xml:space="preserve"> These provisions apply to an </w:t>
            </w:r>
            <w:r w:rsidRPr="00373A22">
              <w:t xml:space="preserve">expunction of arrest records and files for a person who successfully completes </w:t>
            </w:r>
            <w:r>
              <w:t xml:space="preserve">such </w:t>
            </w:r>
            <w:r w:rsidRPr="00373A22">
              <w:t xml:space="preserve">a program before, on, or after the </w:t>
            </w:r>
            <w:r>
              <w:t xml:space="preserve">bill's </w:t>
            </w:r>
            <w:r w:rsidRPr="00373A22">
              <w:t xml:space="preserve">effective </w:t>
            </w:r>
            <w:r>
              <w:t>date,</w:t>
            </w:r>
            <w:r w:rsidRPr="00373A22">
              <w:t xml:space="preserve"> regardless of when the underlying arrest occurred.</w:t>
            </w:r>
            <w:r>
              <w:t xml:space="preserve"> The bill</w:t>
            </w:r>
            <w:r>
              <w:t xml:space="preserve"> authorizes a court, for a person entitled to</w:t>
            </w:r>
            <w:r>
              <w:t xml:space="preserve"> such</w:t>
            </w:r>
            <w:r>
              <w:t xml:space="preserve"> expunction</w:t>
            </w:r>
            <w:r>
              <w:t xml:space="preserve"> and</w:t>
            </w:r>
            <w:r>
              <w:t xml:space="preserve"> </w:t>
            </w:r>
            <w:r w:rsidRPr="00373A22">
              <w:t xml:space="preserve">with the consent of the attorney representing the state, </w:t>
            </w:r>
            <w:r>
              <w:t xml:space="preserve">to </w:t>
            </w:r>
            <w:r w:rsidRPr="00373A22">
              <w:t>enter an order of expunction for the person as soon as practicable after the court receives written notice from any party to the c</w:t>
            </w:r>
            <w:r w:rsidRPr="00373A22">
              <w:t>ase about the person'</w:t>
            </w:r>
            <w:r>
              <w:t>s entitlement to the expunction.</w:t>
            </w:r>
          </w:p>
          <w:p w:rsidR="001620E4" w:rsidRPr="00835628" w:rsidRDefault="008F5921" w:rsidP="002756B5">
            <w:pPr>
              <w:pStyle w:val="Header"/>
              <w:spacing w:before="120" w:after="120"/>
              <w:jc w:val="both"/>
              <w:rPr>
                <w:b/>
              </w:rPr>
            </w:pPr>
          </w:p>
        </w:tc>
      </w:tr>
      <w:tr w:rsidR="00FC0EB0" w:rsidTr="00345119">
        <w:tc>
          <w:tcPr>
            <w:tcW w:w="9576" w:type="dxa"/>
          </w:tcPr>
          <w:p w:rsidR="008423E4" w:rsidRPr="00A8133F" w:rsidRDefault="008F5921" w:rsidP="0027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5921" w:rsidP="002756B5"/>
          <w:p w:rsidR="008423E4" w:rsidRPr="003624F2" w:rsidRDefault="008F5921" w:rsidP="0027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F5921" w:rsidP="002756B5">
            <w:pPr>
              <w:rPr>
                <w:b/>
              </w:rPr>
            </w:pPr>
          </w:p>
        </w:tc>
      </w:tr>
      <w:tr w:rsidR="00FC0EB0" w:rsidTr="00345119">
        <w:tc>
          <w:tcPr>
            <w:tcW w:w="9576" w:type="dxa"/>
          </w:tcPr>
          <w:p w:rsidR="002E24A6" w:rsidRDefault="008F5921" w:rsidP="002756B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E32B7" w:rsidRDefault="008F5921" w:rsidP="002756B5">
            <w:pPr>
              <w:jc w:val="both"/>
            </w:pPr>
          </w:p>
          <w:p w:rsidR="001E32B7" w:rsidRDefault="008F5921" w:rsidP="002756B5">
            <w:pPr>
              <w:jc w:val="both"/>
            </w:pPr>
            <w:r>
              <w:t xml:space="preserve">While C.S.H.B. 4104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1E32B7" w:rsidRDefault="008F5921" w:rsidP="002756B5">
            <w:pPr>
              <w:jc w:val="both"/>
            </w:pPr>
          </w:p>
          <w:p w:rsidR="001E32B7" w:rsidRPr="001E32B7" w:rsidRDefault="008F5921" w:rsidP="002756B5">
            <w:pPr>
              <w:jc w:val="both"/>
              <w:rPr>
                <w:b/>
              </w:rPr>
            </w:pPr>
            <w:r>
              <w:t>The substitute does not include</w:t>
            </w:r>
            <w:r>
              <w:t xml:space="preserve"> provisions requiring the </w:t>
            </w:r>
            <w:r>
              <w:t xml:space="preserve">Office of Court Administration to </w:t>
            </w:r>
            <w:r>
              <w:t xml:space="preserve">develop and </w:t>
            </w:r>
            <w:r>
              <w:t xml:space="preserve">post </w:t>
            </w:r>
            <w:r>
              <w:t xml:space="preserve">online </w:t>
            </w:r>
            <w:r w:rsidRPr="001E32B7">
              <w:t>a screening tool to be used</w:t>
            </w:r>
            <w:r>
              <w:t xml:space="preserve"> by a judge</w:t>
            </w:r>
            <w:r w:rsidRPr="001E32B7">
              <w:t xml:space="preserve"> to determine if a defendant convicted of </w:t>
            </w:r>
            <w:r>
              <w:t xml:space="preserve">certain </w:t>
            </w:r>
            <w:r w:rsidRPr="001E32B7">
              <w:t xml:space="preserve">prostitution </w:t>
            </w:r>
            <w:r>
              <w:t>conduct</w:t>
            </w:r>
            <w:r w:rsidRPr="001E32B7">
              <w:t xml:space="preserve"> is a victim of human trafficking</w:t>
            </w:r>
            <w:r>
              <w:t xml:space="preserve"> </w:t>
            </w:r>
            <w:r>
              <w:t>and to inform the judge's</w:t>
            </w:r>
            <w:r>
              <w:t xml:space="preserve"> sentencing </w:t>
            </w:r>
            <w:r>
              <w:t>decision</w:t>
            </w:r>
            <w:r w:rsidRPr="001E32B7">
              <w:t>.</w:t>
            </w:r>
            <w:r>
              <w:t xml:space="preserve"> </w:t>
            </w:r>
          </w:p>
          <w:p w:rsidR="001E32B7" w:rsidRPr="001E32B7" w:rsidRDefault="008F5921" w:rsidP="002756B5">
            <w:pPr>
              <w:jc w:val="both"/>
            </w:pPr>
          </w:p>
        </w:tc>
      </w:tr>
      <w:tr w:rsidR="00FC0EB0" w:rsidTr="00345119">
        <w:tc>
          <w:tcPr>
            <w:tcW w:w="9576" w:type="dxa"/>
          </w:tcPr>
          <w:p w:rsidR="002E24A6" w:rsidRPr="009C1E9A" w:rsidRDefault="008F5921" w:rsidP="002756B5">
            <w:pPr>
              <w:rPr>
                <w:b/>
                <w:u w:val="single"/>
              </w:rPr>
            </w:pPr>
          </w:p>
        </w:tc>
      </w:tr>
      <w:tr w:rsidR="00FC0EB0" w:rsidTr="00345119">
        <w:tc>
          <w:tcPr>
            <w:tcW w:w="9576" w:type="dxa"/>
          </w:tcPr>
          <w:p w:rsidR="002E24A6" w:rsidRPr="002E24A6" w:rsidRDefault="008F5921" w:rsidP="002756B5">
            <w:pPr>
              <w:jc w:val="both"/>
            </w:pPr>
          </w:p>
        </w:tc>
      </w:tr>
    </w:tbl>
    <w:p w:rsidR="008423E4" w:rsidRPr="00BE0E75" w:rsidRDefault="008F59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592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5921">
      <w:r>
        <w:separator/>
      </w:r>
    </w:p>
  </w:endnote>
  <w:endnote w:type="continuationSeparator" w:id="0">
    <w:p w:rsidR="00000000" w:rsidRDefault="008F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5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0EB0" w:rsidTr="009C1E9A">
      <w:trPr>
        <w:cantSplit/>
      </w:trPr>
      <w:tc>
        <w:tcPr>
          <w:tcW w:w="0" w:type="pct"/>
        </w:tcPr>
        <w:p w:rsidR="00137D90" w:rsidRDefault="008F59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59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59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59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59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0EB0" w:rsidTr="009C1E9A">
      <w:trPr>
        <w:cantSplit/>
      </w:trPr>
      <w:tc>
        <w:tcPr>
          <w:tcW w:w="0" w:type="pct"/>
        </w:tcPr>
        <w:p w:rsidR="00EC379B" w:rsidRDefault="008F59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59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29460</w:t>
          </w:r>
        </w:p>
      </w:tc>
      <w:tc>
        <w:tcPr>
          <w:tcW w:w="2453" w:type="pct"/>
        </w:tcPr>
        <w:p w:rsidR="00EC379B" w:rsidRDefault="008F59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19.114.821</w:t>
          </w:r>
          <w:r>
            <w:fldChar w:fldCharType="end"/>
          </w:r>
        </w:p>
      </w:tc>
    </w:tr>
    <w:tr w:rsidR="00FC0EB0" w:rsidTr="009C1E9A">
      <w:trPr>
        <w:cantSplit/>
      </w:trPr>
      <w:tc>
        <w:tcPr>
          <w:tcW w:w="0" w:type="pct"/>
        </w:tcPr>
        <w:p w:rsidR="00EC379B" w:rsidRDefault="008F59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59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27368</w:t>
          </w:r>
        </w:p>
      </w:tc>
      <w:tc>
        <w:tcPr>
          <w:tcW w:w="2453" w:type="pct"/>
        </w:tcPr>
        <w:p w:rsidR="00EC379B" w:rsidRDefault="008F5921" w:rsidP="006D504F">
          <w:pPr>
            <w:pStyle w:val="Footer"/>
            <w:rPr>
              <w:rStyle w:val="PageNumber"/>
            </w:rPr>
          </w:pPr>
        </w:p>
        <w:p w:rsidR="00EC379B" w:rsidRDefault="008F59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0E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59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F59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59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5921">
      <w:r>
        <w:separator/>
      </w:r>
    </w:p>
  </w:footnote>
  <w:footnote w:type="continuationSeparator" w:id="0">
    <w:p w:rsidR="00000000" w:rsidRDefault="008F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5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5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5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024F"/>
    <w:multiLevelType w:val="hybridMultilevel"/>
    <w:tmpl w:val="6DF4AE06"/>
    <w:lvl w:ilvl="0" w:tplc="B7D4D5F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22A282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C84D48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5E6B66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090EF9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378F43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182C5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77E326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B1C18F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D67556"/>
    <w:multiLevelType w:val="hybridMultilevel"/>
    <w:tmpl w:val="488E0152"/>
    <w:lvl w:ilvl="0" w:tplc="3176E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87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02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88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08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66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C8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6F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AD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37991"/>
    <w:multiLevelType w:val="hybridMultilevel"/>
    <w:tmpl w:val="FB1CE854"/>
    <w:lvl w:ilvl="0" w:tplc="B1720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8B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20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3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60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E8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0A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49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A7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B0"/>
    <w:rsid w:val="008F5921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D60D0D-3F0A-4D10-BD83-C21E0498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5C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C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4967</Characters>
  <Application>Microsoft Office Word</Application>
  <DocSecurity>4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HB04104 (Committee Report (Substituted))</vt:lpstr>
    </vt:vector>
  </TitlesOfParts>
  <Company>State of Texas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29460</dc:subject>
  <dc:creator>State of Texas</dc:creator>
  <dc:description>HB 4104 by White-(H)Corrections (Substitute Document Number: 86R 27368)</dc:description>
  <cp:lastModifiedBy>Erin Conway</cp:lastModifiedBy>
  <cp:revision>2</cp:revision>
  <cp:lastPrinted>2003-11-26T17:21:00Z</cp:lastPrinted>
  <dcterms:created xsi:type="dcterms:W3CDTF">2019-04-30T19:05:00Z</dcterms:created>
  <dcterms:modified xsi:type="dcterms:W3CDTF">2019-04-30T19:05:00Z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19.114.821</vt:lpwstr>
  </property>
</Properties>
</file>