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9E4971" w:rsidTr="00345119">
        <w:tc>
          <w:tcPr>
            <w:tcW w:w="9576" w:type="dxa"/>
            <w:noWrap/>
          </w:tcPr>
          <w:p w:rsidR="008423E4" w:rsidRPr="0022177D" w:rsidRDefault="00DC038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DC038A" w:rsidP="008423E4">
      <w:pPr>
        <w:jc w:val="center"/>
      </w:pPr>
    </w:p>
    <w:p w:rsidR="008423E4" w:rsidRPr="00B31F0E" w:rsidRDefault="00DC038A" w:rsidP="008423E4"/>
    <w:p w:rsidR="008423E4" w:rsidRPr="00742794" w:rsidRDefault="00DC038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E4971" w:rsidTr="00345119">
        <w:tc>
          <w:tcPr>
            <w:tcW w:w="9576" w:type="dxa"/>
          </w:tcPr>
          <w:p w:rsidR="008423E4" w:rsidRPr="00861995" w:rsidRDefault="00DC038A" w:rsidP="00345119">
            <w:pPr>
              <w:jc w:val="right"/>
            </w:pPr>
            <w:r>
              <w:t>C.S.H.B. 4116</w:t>
            </w:r>
          </w:p>
        </w:tc>
      </w:tr>
      <w:tr w:rsidR="009E4971" w:rsidTr="00345119">
        <w:tc>
          <w:tcPr>
            <w:tcW w:w="9576" w:type="dxa"/>
          </w:tcPr>
          <w:p w:rsidR="008423E4" w:rsidRPr="00861995" w:rsidRDefault="00DC038A" w:rsidP="00153F97">
            <w:pPr>
              <w:jc w:val="right"/>
            </w:pPr>
            <w:r>
              <w:t xml:space="preserve">By: </w:t>
            </w:r>
            <w:r>
              <w:t>Zwiener</w:t>
            </w:r>
          </w:p>
        </w:tc>
      </w:tr>
      <w:tr w:rsidR="009E4971" w:rsidTr="00345119">
        <w:tc>
          <w:tcPr>
            <w:tcW w:w="9576" w:type="dxa"/>
          </w:tcPr>
          <w:p w:rsidR="008423E4" w:rsidRPr="00861995" w:rsidRDefault="00DC038A" w:rsidP="00345119">
            <w:pPr>
              <w:jc w:val="right"/>
            </w:pPr>
            <w:r>
              <w:t>Environmental Regulation</w:t>
            </w:r>
          </w:p>
        </w:tc>
      </w:tr>
      <w:tr w:rsidR="009E4971" w:rsidTr="00345119">
        <w:tc>
          <w:tcPr>
            <w:tcW w:w="9576" w:type="dxa"/>
          </w:tcPr>
          <w:p w:rsidR="008423E4" w:rsidRDefault="00DC038A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DC038A" w:rsidP="008423E4">
      <w:pPr>
        <w:tabs>
          <w:tab w:val="right" w:pos="9360"/>
        </w:tabs>
      </w:pPr>
    </w:p>
    <w:p w:rsidR="008423E4" w:rsidRDefault="00DC038A" w:rsidP="008423E4"/>
    <w:p w:rsidR="008423E4" w:rsidRDefault="00DC038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E4971" w:rsidTr="00345119">
        <w:tc>
          <w:tcPr>
            <w:tcW w:w="9576" w:type="dxa"/>
          </w:tcPr>
          <w:p w:rsidR="008423E4" w:rsidRPr="00A8133F" w:rsidRDefault="00DC038A" w:rsidP="0005242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DC038A" w:rsidP="0005242A"/>
          <w:p w:rsidR="008423E4" w:rsidRDefault="00DC038A" w:rsidP="000524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disincentives are needed to help prevent </w:t>
            </w:r>
            <w:r w:rsidRPr="00D6694A">
              <w:t>effluent</w:t>
            </w:r>
            <w:r>
              <w:t xml:space="preserve"> </w:t>
            </w:r>
            <w:r w:rsidRPr="00D6694A">
              <w:t>discharge</w:t>
            </w:r>
            <w:r>
              <w:t>s</w:t>
            </w:r>
            <w:r>
              <w:t xml:space="preserve"> that result</w:t>
            </w:r>
            <w:r w:rsidRPr="00D6694A">
              <w:t xml:space="preserve"> in damage to the environment</w:t>
            </w:r>
            <w:r>
              <w:t>.</w:t>
            </w:r>
            <w:r>
              <w:t xml:space="preserve"> </w:t>
            </w:r>
            <w:r>
              <w:t>C.S.</w:t>
            </w:r>
            <w:r>
              <w:t>H.B. 4116 seeks to address this issue by providing for a voluntary financial assurance program</w:t>
            </w:r>
            <w:r>
              <w:t xml:space="preserve"> in an effort to help build</w:t>
            </w:r>
            <w:r>
              <w:t xml:space="preserve"> a sense of trust</w:t>
            </w:r>
            <w:r>
              <w:t xml:space="preserve"> between applicable permit holders and the local community.</w:t>
            </w:r>
          </w:p>
          <w:p w:rsidR="008423E4" w:rsidRPr="00E26B13" w:rsidRDefault="00DC038A" w:rsidP="0005242A">
            <w:pPr>
              <w:rPr>
                <w:b/>
              </w:rPr>
            </w:pPr>
          </w:p>
        </w:tc>
      </w:tr>
      <w:tr w:rsidR="009E4971" w:rsidTr="00345119">
        <w:tc>
          <w:tcPr>
            <w:tcW w:w="9576" w:type="dxa"/>
          </w:tcPr>
          <w:p w:rsidR="0017725B" w:rsidRDefault="00DC038A" w:rsidP="0005242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</w:t>
            </w:r>
            <w:r>
              <w:rPr>
                <w:b/>
                <w:u w:val="single"/>
              </w:rPr>
              <w:t>CT</w:t>
            </w:r>
          </w:p>
          <w:p w:rsidR="0017725B" w:rsidRDefault="00DC038A" w:rsidP="0005242A">
            <w:pPr>
              <w:rPr>
                <w:b/>
                <w:u w:val="single"/>
              </w:rPr>
            </w:pPr>
          </w:p>
          <w:p w:rsidR="00162130" w:rsidRPr="00162130" w:rsidRDefault="00DC038A" w:rsidP="0005242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</w:t>
            </w:r>
            <w:r>
              <w:t>datory supervision.</w:t>
            </w:r>
          </w:p>
          <w:p w:rsidR="0017725B" w:rsidRPr="0017725B" w:rsidRDefault="00DC038A" w:rsidP="0005242A">
            <w:pPr>
              <w:rPr>
                <w:b/>
                <w:u w:val="single"/>
              </w:rPr>
            </w:pPr>
          </w:p>
        </w:tc>
      </w:tr>
      <w:tr w:rsidR="009E4971" w:rsidTr="00345119">
        <w:tc>
          <w:tcPr>
            <w:tcW w:w="9576" w:type="dxa"/>
          </w:tcPr>
          <w:p w:rsidR="008423E4" w:rsidRPr="00A8133F" w:rsidRDefault="00DC038A" w:rsidP="0005242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DC038A" w:rsidP="0005242A"/>
          <w:p w:rsidR="00162130" w:rsidRDefault="00DC038A" w:rsidP="000524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Texas Commission on Environmental Quality in SECTION 1 of this bill.</w:t>
            </w:r>
          </w:p>
          <w:p w:rsidR="008423E4" w:rsidRPr="00E21FDC" w:rsidRDefault="00DC038A" w:rsidP="0005242A">
            <w:pPr>
              <w:rPr>
                <w:b/>
              </w:rPr>
            </w:pPr>
          </w:p>
        </w:tc>
      </w:tr>
      <w:tr w:rsidR="009E4971" w:rsidTr="00345119">
        <w:tc>
          <w:tcPr>
            <w:tcW w:w="9576" w:type="dxa"/>
          </w:tcPr>
          <w:p w:rsidR="008423E4" w:rsidRPr="00A8133F" w:rsidRDefault="00DC038A" w:rsidP="0005242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DC038A" w:rsidP="0005242A"/>
          <w:p w:rsidR="003E5102" w:rsidRDefault="00DC038A" w:rsidP="0005242A">
            <w:pPr>
              <w:pStyle w:val="Header"/>
              <w:jc w:val="both"/>
            </w:pPr>
            <w:r>
              <w:t>C.S.</w:t>
            </w:r>
            <w:r>
              <w:t>H.B. 4116 amends the Water</w:t>
            </w:r>
            <w:r>
              <w:t xml:space="preserve"> Code to require the Texas Commission on Environmental Quality (TCEQ) to </w:t>
            </w:r>
            <w:r w:rsidRPr="00162130">
              <w:t xml:space="preserve">establish a program to allow </w:t>
            </w:r>
            <w:r>
              <w:t xml:space="preserve">the holder of a permit </w:t>
            </w:r>
            <w:r>
              <w:t>for the</w:t>
            </w:r>
            <w:r>
              <w:t xml:space="preserve"> </w:t>
            </w:r>
            <w:r w:rsidRPr="00162130">
              <w:t>discharge</w:t>
            </w:r>
            <w:r>
              <w:t xml:space="preserve"> of</w:t>
            </w:r>
            <w:r w:rsidRPr="00162130">
              <w:t xml:space="preserve"> effluent into any body of water under the </w:t>
            </w:r>
            <w:r w:rsidRPr="00AC009E">
              <w:t>National Pollutant Discharge Elimination System</w:t>
            </w:r>
            <w:r>
              <w:t xml:space="preserve"> (NPDES)</w:t>
            </w:r>
            <w:r w:rsidRPr="00162130">
              <w:t xml:space="preserve"> to deposit w</w:t>
            </w:r>
            <w:r w:rsidRPr="00162130">
              <w:t xml:space="preserve">ith </w:t>
            </w:r>
            <w:r>
              <w:t>TCEQ</w:t>
            </w:r>
            <w:r w:rsidRPr="00162130">
              <w:t xml:space="preserve"> an amount of money or evidence of equivalent financial assurance to be held by </w:t>
            </w:r>
            <w:r>
              <w:t>TCEQ</w:t>
            </w:r>
            <w:r w:rsidRPr="00162130">
              <w:t xml:space="preserve"> to be used in the event the permit holder causes a discharge that </w:t>
            </w:r>
            <w:r>
              <w:t xml:space="preserve">violates the terms of </w:t>
            </w:r>
            <w:r>
              <w:t>an</w:t>
            </w:r>
            <w:r>
              <w:t xml:space="preserve"> agreement </w:t>
            </w:r>
            <w:r>
              <w:t>under</w:t>
            </w:r>
            <w:r>
              <w:t xml:space="preserve"> the program</w:t>
            </w:r>
            <w:r w:rsidRPr="00162130">
              <w:t>.</w:t>
            </w:r>
            <w:r>
              <w:t xml:space="preserve"> </w:t>
            </w:r>
            <w:r w:rsidRPr="003E5102">
              <w:t>The bill requires</w:t>
            </w:r>
            <w:r>
              <w:t xml:space="preserve"> the program to </w:t>
            </w:r>
            <w:r>
              <w:t>require an</w:t>
            </w:r>
            <w:r>
              <w:t xml:space="preserve"> agreement between the permit holder and interested parties in the community affected by the facility or proposed facility</w:t>
            </w:r>
            <w:r>
              <w:t>,</w:t>
            </w:r>
            <w:r>
              <w:t xml:space="preserve"> authorizes the agreement to be entered into at any time before the issuance of the relevant NPDES permit</w:t>
            </w:r>
            <w:r>
              <w:t>,</w:t>
            </w:r>
            <w:r>
              <w:t xml:space="preserve"> and</w:t>
            </w:r>
            <w:r>
              <w:t xml:space="preserve"> sets out requirements </w:t>
            </w:r>
            <w:r>
              <w:t>relating to the contents of the</w:t>
            </w:r>
            <w:r>
              <w:t xml:space="preserve"> agreement</w:t>
            </w:r>
            <w:r>
              <w:t>.</w:t>
            </w:r>
            <w:r>
              <w:t xml:space="preserve"> </w:t>
            </w:r>
          </w:p>
          <w:p w:rsidR="003E5102" w:rsidRDefault="00DC038A" w:rsidP="0005242A">
            <w:pPr>
              <w:pStyle w:val="Header"/>
              <w:jc w:val="both"/>
            </w:pPr>
          </w:p>
          <w:p w:rsidR="008423E4" w:rsidRDefault="00DC038A" w:rsidP="0005242A">
            <w:pPr>
              <w:pStyle w:val="Header"/>
              <w:jc w:val="both"/>
            </w:pPr>
            <w:r>
              <w:t>C.S.H.B. 411</w:t>
            </w:r>
            <w:r>
              <w:t>6</w:t>
            </w:r>
            <w:r>
              <w:t xml:space="preserve"> requires TCEQ to adopt rules necessary to implement the program, including</w:t>
            </w:r>
            <w:r>
              <w:t xml:space="preserve"> </w:t>
            </w:r>
            <w:r>
              <w:t>establishing the types of financial assurance to be deposited</w:t>
            </w:r>
            <w:r>
              <w:t>.</w:t>
            </w:r>
            <w:r>
              <w:t xml:space="preserve"> </w:t>
            </w:r>
            <w:r>
              <w:t xml:space="preserve">The bill </w:t>
            </w:r>
            <w:r>
              <w:t>requires the duration of the financial ass</w:t>
            </w:r>
            <w:r>
              <w:t>urance</w:t>
            </w:r>
            <w:r>
              <w:t xml:space="preserve"> t</w:t>
            </w:r>
            <w:r>
              <w:t xml:space="preserve">o extend at least for the duration of the term of the discharge permit held by the permit holder, including any </w:t>
            </w:r>
            <w:r>
              <w:t>amendment</w:t>
            </w:r>
            <w:r>
              <w:t>. The bill authorizes money to be withdrawn from the financial assurance according to TCEQ rule</w:t>
            </w:r>
            <w:r>
              <w:t xml:space="preserve"> if the permit holder does not comply wi</w:t>
            </w:r>
            <w:r>
              <w:t>th the</w:t>
            </w:r>
            <w:r>
              <w:t xml:space="preserve"> agreement</w:t>
            </w:r>
            <w:r>
              <w:t xml:space="preserve"> terms </w:t>
            </w:r>
            <w:r>
              <w:t>and</w:t>
            </w:r>
            <w:r>
              <w:t xml:space="preserve"> requires the money to be deposited to the credit of the Texas water resources fund for use in the green project </w:t>
            </w:r>
            <w:r>
              <w:t>reserve</w:t>
            </w:r>
            <w:r>
              <w:t xml:space="preserve"> program administered by the Texas Water Development Board. The bill establishes that a party to an agreement that is not a permit holder is an affected person </w:t>
            </w:r>
            <w:r>
              <w:t>for</w:t>
            </w:r>
            <w:r>
              <w:t xml:space="preserve"> the</w:t>
            </w:r>
            <w:r>
              <w:t xml:space="preserve"> purpose of </w:t>
            </w:r>
            <w:r>
              <w:t>provisions relating to</w:t>
            </w:r>
            <w:r>
              <w:t xml:space="preserve"> action on </w:t>
            </w:r>
            <w:r>
              <w:t>certain permit</w:t>
            </w:r>
            <w:r>
              <w:t xml:space="preserve"> application</w:t>
            </w:r>
            <w:r>
              <w:t>s</w:t>
            </w:r>
            <w:r>
              <w:t>. The bill author</w:t>
            </w:r>
            <w:r>
              <w:t>izes the renewal of an NPDES permit that is the subject of an agreement</w:t>
            </w:r>
            <w:r>
              <w:t xml:space="preserve"> under the program</w:t>
            </w:r>
            <w:r>
              <w:t>, in accordance with NPDES program requirements, to be the subject of a contested case hearing, including an agreement under which a complete drawdown of the financial</w:t>
            </w:r>
            <w:r>
              <w:t xml:space="preserve"> assurance has occurred.</w:t>
            </w:r>
          </w:p>
          <w:p w:rsidR="008423E4" w:rsidRPr="00835628" w:rsidRDefault="00DC038A" w:rsidP="0005242A">
            <w:pPr>
              <w:rPr>
                <w:b/>
              </w:rPr>
            </w:pPr>
          </w:p>
        </w:tc>
      </w:tr>
      <w:tr w:rsidR="009E4971" w:rsidTr="00345119">
        <w:tc>
          <w:tcPr>
            <w:tcW w:w="9576" w:type="dxa"/>
          </w:tcPr>
          <w:p w:rsidR="008423E4" w:rsidRPr="00A8133F" w:rsidRDefault="00DC038A" w:rsidP="0005242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DC038A" w:rsidP="0005242A"/>
          <w:p w:rsidR="008423E4" w:rsidRPr="003624F2" w:rsidRDefault="00DC038A" w:rsidP="0005242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DC038A" w:rsidP="0005242A">
            <w:pPr>
              <w:rPr>
                <w:b/>
              </w:rPr>
            </w:pPr>
          </w:p>
        </w:tc>
      </w:tr>
      <w:tr w:rsidR="009E4971" w:rsidTr="00345119">
        <w:tc>
          <w:tcPr>
            <w:tcW w:w="9576" w:type="dxa"/>
          </w:tcPr>
          <w:p w:rsidR="00153F97" w:rsidRDefault="00DC038A" w:rsidP="0005242A">
            <w:pPr>
              <w:contextualSpacing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8F4304" w:rsidRDefault="00DC038A" w:rsidP="0005242A">
            <w:pPr>
              <w:contextualSpacing/>
              <w:jc w:val="both"/>
            </w:pPr>
          </w:p>
          <w:p w:rsidR="008F4304" w:rsidRDefault="00DC038A" w:rsidP="0005242A">
            <w:pPr>
              <w:contextualSpacing/>
              <w:jc w:val="both"/>
            </w:pPr>
            <w:r>
              <w:t>While C.S.H.B. 4116 may differ from the original in minor or nonsubstantive ways, the following summarizes the substantial differences between the intro</w:t>
            </w:r>
            <w:r>
              <w:t>duced and committee substitute versions of the bill.</w:t>
            </w:r>
          </w:p>
          <w:p w:rsidR="008F4304" w:rsidRDefault="00DC038A" w:rsidP="0005242A">
            <w:pPr>
              <w:contextualSpacing/>
              <w:jc w:val="both"/>
            </w:pPr>
          </w:p>
          <w:p w:rsidR="0076107C" w:rsidRDefault="00DC038A" w:rsidP="0005242A">
            <w:pPr>
              <w:contextualSpacing/>
              <w:jc w:val="both"/>
            </w:pPr>
            <w:r>
              <w:t xml:space="preserve">The substitute changes the type of discharge that triggers the use of the financial assurance under the program from a discharge that results in damage to the environment to a discharge that </w:t>
            </w:r>
            <w:r w:rsidRPr="00264A81">
              <w:t xml:space="preserve">violates the terms of </w:t>
            </w:r>
            <w:r>
              <w:t>an</w:t>
            </w:r>
            <w:r w:rsidRPr="00264A81">
              <w:t xml:space="preserve"> agreement</w:t>
            </w:r>
            <w:r>
              <w:t xml:space="preserve"> between the permit holder and affected interested parties in the community</w:t>
            </w:r>
            <w:r>
              <w:t xml:space="preserve">. </w:t>
            </w:r>
          </w:p>
          <w:p w:rsidR="0076107C" w:rsidRDefault="00DC038A" w:rsidP="0005242A">
            <w:pPr>
              <w:contextualSpacing/>
              <w:jc w:val="both"/>
            </w:pPr>
          </w:p>
          <w:p w:rsidR="00264A81" w:rsidRDefault="00DC038A" w:rsidP="0005242A">
            <w:pPr>
              <w:spacing w:before="120" w:after="120"/>
              <w:contextualSpacing/>
              <w:jc w:val="both"/>
            </w:pPr>
            <w:r>
              <w:t>The substitute does not include</w:t>
            </w:r>
            <w:r>
              <w:t xml:space="preserve"> </w:t>
            </w:r>
            <w:r>
              <w:t>a specification that the financial assurance</w:t>
            </w:r>
            <w:r>
              <w:t xml:space="preserve"> held by TCEQ</w:t>
            </w:r>
            <w:r>
              <w:t xml:space="preserve"> </w:t>
            </w:r>
            <w:r>
              <w:t>is</w:t>
            </w:r>
            <w:r>
              <w:t xml:space="preserve"> held in escrow</w:t>
            </w:r>
            <w:r>
              <w:t>. The substitute does not include</w:t>
            </w:r>
            <w:r>
              <w:t xml:space="preserve"> </w:t>
            </w:r>
            <w:r>
              <w:t>pr</w:t>
            </w:r>
            <w:r>
              <w:t>ovisions providing for TCEQ establishment</w:t>
            </w:r>
            <w:r>
              <w:t xml:space="preserve"> </w:t>
            </w:r>
            <w:r>
              <w:t xml:space="preserve">of a standard escrow agreement </w:t>
            </w:r>
            <w:r>
              <w:t xml:space="preserve">and related terms and for a procedure for withdrawing money or using financial instruments held in escrow to pay for damage remediation. The substitute does not include a requirement </w:t>
            </w:r>
            <w:r>
              <w:t>for TCEQ to hold a public meeting to present information about the program and the permit holder's participation.</w:t>
            </w:r>
          </w:p>
          <w:p w:rsidR="00264A81" w:rsidRDefault="00DC038A" w:rsidP="0005242A">
            <w:pPr>
              <w:contextualSpacing/>
            </w:pPr>
          </w:p>
          <w:p w:rsidR="00264A81" w:rsidRDefault="00DC038A" w:rsidP="0005242A">
            <w:pPr>
              <w:contextualSpacing/>
              <w:jc w:val="both"/>
            </w:pPr>
            <w:r>
              <w:t xml:space="preserve">The substitute </w:t>
            </w:r>
            <w:r>
              <w:t>requires the program</w:t>
            </w:r>
            <w:r>
              <w:t xml:space="preserve"> instead</w:t>
            </w:r>
            <w:r>
              <w:t xml:space="preserve"> to require</w:t>
            </w:r>
            <w:r>
              <w:t xml:space="preserve"> an agreement</w:t>
            </w:r>
            <w:r>
              <w:t xml:space="preserve"> between the permit holder and affected interested parties in the communit</w:t>
            </w:r>
            <w:r>
              <w:t>y</w:t>
            </w:r>
            <w:r>
              <w:t xml:space="preserve"> and</w:t>
            </w:r>
            <w:r>
              <w:t xml:space="preserve"> includes provisions relating to such an agreement. The substitute also includes</w:t>
            </w:r>
            <w:r>
              <w:t xml:space="preserve"> provisions: </w:t>
            </w:r>
          </w:p>
          <w:p w:rsidR="004B74F3" w:rsidRDefault="00DC038A" w:rsidP="0005242A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jc w:val="both"/>
            </w:pPr>
            <w:r>
              <w:t>providing for the duration of the financial assurance;</w:t>
            </w:r>
          </w:p>
          <w:p w:rsidR="00910C8D" w:rsidRDefault="00DC038A" w:rsidP="0005242A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jc w:val="both"/>
            </w:pPr>
            <w:r>
              <w:t>providing for the withdrawal of</w:t>
            </w:r>
            <w:r>
              <w:t xml:space="preserve"> </w:t>
            </w:r>
            <w:r w:rsidRPr="00441E94">
              <w:t>money</w:t>
            </w:r>
            <w:r>
              <w:t xml:space="preserve"> </w:t>
            </w:r>
            <w:r>
              <w:t>from the financial assurance for noncompliance with an agreement</w:t>
            </w:r>
            <w:r w:rsidRPr="00441E94">
              <w:t xml:space="preserve"> </w:t>
            </w:r>
            <w:r>
              <w:t>and the</w:t>
            </w:r>
            <w:r w:rsidRPr="00441E94">
              <w:t xml:space="preserve"> deposit</w:t>
            </w:r>
            <w:r>
              <w:t xml:space="preserve"> of that money;</w:t>
            </w:r>
          </w:p>
          <w:p w:rsidR="00910C8D" w:rsidRDefault="00DC038A" w:rsidP="0005242A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jc w:val="both"/>
            </w:pPr>
            <w:r>
              <w:t>establishing</w:t>
            </w:r>
            <w:r w:rsidRPr="00441E94">
              <w:t xml:space="preserve"> </w:t>
            </w:r>
            <w:r>
              <w:t xml:space="preserve">the status of </w:t>
            </w:r>
            <w:r w:rsidRPr="00441E94">
              <w:t xml:space="preserve">a party to an agreement </w:t>
            </w:r>
            <w:r>
              <w:t>as</w:t>
            </w:r>
            <w:r w:rsidRPr="00441E94">
              <w:t xml:space="preserve"> an affected person for </w:t>
            </w:r>
            <w:r>
              <w:t>certain</w:t>
            </w:r>
            <w:r w:rsidRPr="00441E94">
              <w:t xml:space="preserve"> purpose</w:t>
            </w:r>
            <w:r>
              <w:t>s</w:t>
            </w:r>
            <w:r>
              <w:t>;</w:t>
            </w:r>
            <w:r w:rsidRPr="00441E94">
              <w:t xml:space="preserve"> </w:t>
            </w:r>
            <w:r>
              <w:t xml:space="preserve">and </w:t>
            </w:r>
          </w:p>
          <w:p w:rsidR="00441E94" w:rsidRDefault="00DC038A" w:rsidP="0005242A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jc w:val="both"/>
            </w:pPr>
            <w:r>
              <w:t>authorizing</w:t>
            </w:r>
            <w:r w:rsidRPr="00441E94">
              <w:t xml:space="preserve"> the renewal of an NPDES permit that is the subject of an agreement to be the subject of a contested case hearing</w:t>
            </w:r>
            <w:r>
              <w:t>.</w:t>
            </w:r>
          </w:p>
          <w:p w:rsidR="00DF50CB" w:rsidRDefault="00DC038A" w:rsidP="0005242A">
            <w:pPr>
              <w:contextualSpacing/>
            </w:pPr>
          </w:p>
          <w:p w:rsidR="008F4304" w:rsidRPr="008F4304" w:rsidRDefault="00DC038A" w:rsidP="0005242A">
            <w:pPr>
              <w:contextualSpacing/>
              <w:jc w:val="both"/>
            </w:pPr>
          </w:p>
        </w:tc>
      </w:tr>
      <w:tr w:rsidR="009E4971" w:rsidTr="00345119">
        <w:tc>
          <w:tcPr>
            <w:tcW w:w="9576" w:type="dxa"/>
          </w:tcPr>
          <w:p w:rsidR="00153F97" w:rsidRPr="009C1E9A" w:rsidRDefault="00DC038A" w:rsidP="0005242A">
            <w:pPr>
              <w:rPr>
                <w:b/>
                <w:u w:val="single"/>
              </w:rPr>
            </w:pPr>
          </w:p>
        </w:tc>
      </w:tr>
      <w:tr w:rsidR="009E4971" w:rsidTr="00345119">
        <w:tc>
          <w:tcPr>
            <w:tcW w:w="9576" w:type="dxa"/>
          </w:tcPr>
          <w:p w:rsidR="00153F97" w:rsidRPr="00153F97" w:rsidRDefault="00DC038A" w:rsidP="0005242A">
            <w:pPr>
              <w:jc w:val="both"/>
            </w:pPr>
          </w:p>
        </w:tc>
      </w:tr>
    </w:tbl>
    <w:p w:rsidR="008423E4" w:rsidRPr="00312F2E" w:rsidRDefault="00DC038A" w:rsidP="008423E4">
      <w:pPr>
        <w:spacing w:line="480" w:lineRule="auto"/>
        <w:jc w:val="both"/>
        <w:rPr>
          <w:rFonts w:ascii="Arial" w:hAnsi="Arial"/>
          <w:sz w:val="2"/>
          <w:szCs w:val="2"/>
        </w:rPr>
      </w:pPr>
    </w:p>
    <w:p w:rsidR="004108C3" w:rsidRPr="00312F2E" w:rsidRDefault="00DC038A" w:rsidP="008423E4">
      <w:pPr>
        <w:rPr>
          <w:sz w:val="20"/>
          <w:szCs w:val="20"/>
        </w:rPr>
      </w:pPr>
    </w:p>
    <w:sectPr w:rsidR="004108C3" w:rsidRPr="00312F2E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038A">
      <w:r>
        <w:separator/>
      </w:r>
    </w:p>
  </w:endnote>
  <w:endnote w:type="continuationSeparator" w:id="0">
    <w:p w:rsidR="00000000" w:rsidRDefault="00DC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C0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E4971" w:rsidTr="009C1E9A">
      <w:trPr>
        <w:cantSplit/>
      </w:trPr>
      <w:tc>
        <w:tcPr>
          <w:tcW w:w="0" w:type="pct"/>
        </w:tcPr>
        <w:p w:rsidR="00137D90" w:rsidRDefault="00DC038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DC038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DC038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DC038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DC038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E4971" w:rsidTr="009C1E9A">
      <w:trPr>
        <w:cantSplit/>
      </w:trPr>
      <w:tc>
        <w:tcPr>
          <w:tcW w:w="0" w:type="pct"/>
        </w:tcPr>
        <w:p w:rsidR="00EC379B" w:rsidRDefault="00DC038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DC038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26257</w:t>
          </w:r>
        </w:p>
      </w:tc>
      <w:tc>
        <w:tcPr>
          <w:tcW w:w="2453" w:type="pct"/>
        </w:tcPr>
        <w:p w:rsidR="00EC379B" w:rsidRDefault="00DC038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19.101.76</w:t>
          </w:r>
          <w:r>
            <w:fldChar w:fldCharType="end"/>
          </w:r>
        </w:p>
      </w:tc>
    </w:tr>
    <w:tr w:rsidR="009E4971" w:rsidTr="009C1E9A">
      <w:trPr>
        <w:cantSplit/>
      </w:trPr>
      <w:tc>
        <w:tcPr>
          <w:tcW w:w="0" w:type="pct"/>
        </w:tcPr>
        <w:p w:rsidR="00EC379B" w:rsidRDefault="00DC038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DC038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25751</w:t>
          </w:r>
        </w:p>
      </w:tc>
      <w:tc>
        <w:tcPr>
          <w:tcW w:w="2453" w:type="pct"/>
        </w:tcPr>
        <w:p w:rsidR="00EC379B" w:rsidRDefault="00DC038A" w:rsidP="006D504F">
          <w:pPr>
            <w:pStyle w:val="Footer"/>
            <w:rPr>
              <w:rStyle w:val="PageNumber"/>
            </w:rPr>
          </w:pPr>
        </w:p>
        <w:p w:rsidR="00EC379B" w:rsidRDefault="00DC038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E497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DC038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DC038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DC038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C0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C038A">
      <w:r>
        <w:separator/>
      </w:r>
    </w:p>
  </w:footnote>
  <w:footnote w:type="continuationSeparator" w:id="0">
    <w:p w:rsidR="00000000" w:rsidRDefault="00DC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C0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C0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DC0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B5B35"/>
    <w:multiLevelType w:val="hybridMultilevel"/>
    <w:tmpl w:val="79D09324"/>
    <w:lvl w:ilvl="0" w:tplc="18780B8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7F23E5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8D2721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CAA692E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606CAC6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6A991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A8EDF9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848C97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B6E73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D990A2A"/>
    <w:multiLevelType w:val="hybridMultilevel"/>
    <w:tmpl w:val="59ACA186"/>
    <w:lvl w:ilvl="0" w:tplc="3D3A26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A1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0AF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E75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21B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EE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D8D3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6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EC8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51833"/>
    <w:multiLevelType w:val="hybridMultilevel"/>
    <w:tmpl w:val="11BCB91A"/>
    <w:lvl w:ilvl="0" w:tplc="A2288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EB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78D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0A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48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E0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8F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2CB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504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6436A"/>
    <w:multiLevelType w:val="hybridMultilevel"/>
    <w:tmpl w:val="0672AF72"/>
    <w:lvl w:ilvl="0" w:tplc="E1287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86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EE5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0B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0B9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808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894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C1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FC58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04EB6"/>
    <w:multiLevelType w:val="hybridMultilevel"/>
    <w:tmpl w:val="DD9AE84C"/>
    <w:lvl w:ilvl="0" w:tplc="453A4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206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2A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48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C4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80A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368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62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1AA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4029"/>
    <w:multiLevelType w:val="hybridMultilevel"/>
    <w:tmpl w:val="6178CEA0"/>
    <w:lvl w:ilvl="0" w:tplc="E1DE8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89A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C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C55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48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28E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2A9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82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02C6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71"/>
    <w:rsid w:val="009E4971"/>
    <w:rsid w:val="00DC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4ACF4C-1455-4119-8E32-158280AA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621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21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21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2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2130"/>
    <w:rPr>
      <w:b/>
      <w:bCs/>
    </w:rPr>
  </w:style>
  <w:style w:type="character" w:styleId="Hyperlink">
    <w:name w:val="Hyperlink"/>
    <w:basedOn w:val="DefaultParagraphFont"/>
    <w:unhideWhenUsed/>
    <w:rsid w:val="00964E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64E4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4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3932</Characters>
  <Application>Microsoft Office Word</Application>
  <DocSecurity>4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HB04116 (Committee Report (Substituted))</vt:lpstr>
    </vt:vector>
  </TitlesOfParts>
  <Company>State of Texas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26257</dc:subject>
  <dc:creator>State of Texas</dc:creator>
  <dc:description>HB 4116 by Zwiener-(H)Environmental Regulation (Substitute Document Number: 86R 25751)</dc:description>
  <cp:lastModifiedBy>Erin Conway</cp:lastModifiedBy>
  <cp:revision>2</cp:revision>
  <cp:lastPrinted>2003-11-26T17:21:00Z</cp:lastPrinted>
  <dcterms:created xsi:type="dcterms:W3CDTF">2019-04-16T01:41:00Z</dcterms:created>
  <dcterms:modified xsi:type="dcterms:W3CDTF">2019-04-16T01:41:00Z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19.101.76</vt:lpwstr>
  </property>
</Properties>
</file>