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596527" w:rsidTr="00345119">
        <w:tc>
          <w:tcPr>
            <w:tcW w:w="9576" w:type="dxa"/>
            <w:noWrap/>
          </w:tcPr>
          <w:p w:rsidR="008423E4" w:rsidRPr="0022177D" w:rsidRDefault="00F1793F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F1793F" w:rsidP="008423E4">
      <w:pPr>
        <w:jc w:val="center"/>
      </w:pPr>
    </w:p>
    <w:p w:rsidR="008423E4" w:rsidRPr="00B31F0E" w:rsidRDefault="00F1793F" w:rsidP="008423E4"/>
    <w:p w:rsidR="008423E4" w:rsidRPr="00742794" w:rsidRDefault="00F1793F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96527" w:rsidTr="00345119">
        <w:tc>
          <w:tcPr>
            <w:tcW w:w="9576" w:type="dxa"/>
          </w:tcPr>
          <w:p w:rsidR="008423E4" w:rsidRPr="00861995" w:rsidRDefault="00F1793F" w:rsidP="00345119">
            <w:pPr>
              <w:jc w:val="right"/>
            </w:pPr>
            <w:r>
              <w:t>C.S.H.B. 4125</w:t>
            </w:r>
          </w:p>
        </w:tc>
      </w:tr>
      <w:tr w:rsidR="00596527" w:rsidTr="00345119">
        <w:tc>
          <w:tcPr>
            <w:tcW w:w="9576" w:type="dxa"/>
          </w:tcPr>
          <w:p w:rsidR="008423E4" w:rsidRPr="00861995" w:rsidRDefault="00F1793F" w:rsidP="00EE6B0F">
            <w:pPr>
              <w:jc w:val="right"/>
            </w:pPr>
            <w:r>
              <w:t xml:space="preserve">By: </w:t>
            </w:r>
            <w:r>
              <w:t>Israel</w:t>
            </w:r>
          </w:p>
        </w:tc>
      </w:tr>
      <w:tr w:rsidR="00596527" w:rsidTr="00345119">
        <w:tc>
          <w:tcPr>
            <w:tcW w:w="9576" w:type="dxa"/>
          </w:tcPr>
          <w:p w:rsidR="008423E4" w:rsidRPr="00861995" w:rsidRDefault="00F1793F" w:rsidP="00345119">
            <w:pPr>
              <w:jc w:val="right"/>
            </w:pPr>
            <w:r>
              <w:t>County Affairs</w:t>
            </w:r>
          </w:p>
        </w:tc>
      </w:tr>
      <w:tr w:rsidR="00596527" w:rsidTr="00345119">
        <w:tc>
          <w:tcPr>
            <w:tcW w:w="9576" w:type="dxa"/>
          </w:tcPr>
          <w:p w:rsidR="008423E4" w:rsidRDefault="00F1793F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F1793F" w:rsidP="008423E4">
      <w:pPr>
        <w:tabs>
          <w:tab w:val="right" w:pos="9360"/>
        </w:tabs>
      </w:pPr>
    </w:p>
    <w:p w:rsidR="008423E4" w:rsidRDefault="00F1793F" w:rsidP="008423E4"/>
    <w:p w:rsidR="008423E4" w:rsidRDefault="00F1793F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596527" w:rsidTr="00345119">
        <w:tc>
          <w:tcPr>
            <w:tcW w:w="9576" w:type="dxa"/>
          </w:tcPr>
          <w:p w:rsidR="008423E4" w:rsidRPr="00A8133F" w:rsidRDefault="00F1793F" w:rsidP="00B329D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F1793F" w:rsidP="00B329DF"/>
          <w:p w:rsidR="008423E4" w:rsidRDefault="00F1793F" w:rsidP="00B329D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Concerns have been raised that </w:t>
            </w:r>
            <w:r w:rsidRPr="00985B2C">
              <w:t>low-income</w:t>
            </w:r>
            <w:r>
              <w:t xml:space="preserve"> and indigent</w:t>
            </w:r>
            <w:r w:rsidRPr="00985B2C">
              <w:t xml:space="preserve"> individuals have little access to legal representation and services in eviction cases</w:t>
            </w:r>
            <w:r>
              <w:t>,</w:t>
            </w:r>
            <w:r w:rsidRPr="00985B2C">
              <w:t xml:space="preserve"> put</w:t>
            </w:r>
            <w:r>
              <w:t>ting</w:t>
            </w:r>
            <w:r w:rsidRPr="00985B2C">
              <w:t xml:space="preserve"> these individuals at a disadvantage that </w:t>
            </w:r>
            <w:r>
              <w:t>may</w:t>
            </w:r>
            <w:r w:rsidRPr="00985B2C">
              <w:t xml:space="preserve"> lead to </w:t>
            </w:r>
            <w:r w:rsidRPr="00985B2C">
              <w:t xml:space="preserve">homelessness </w:t>
            </w:r>
            <w:r>
              <w:t xml:space="preserve">and </w:t>
            </w:r>
            <w:r w:rsidRPr="00985B2C">
              <w:t xml:space="preserve">loss of employment. </w:t>
            </w:r>
            <w:r>
              <w:t>C.S.</w:t>
            </w:r>
            <w:r w:rsidRPr="00985B2C">
              <w:t>H</w:t>
            </w:r>
            <w:r>
              <w:t>.</w:t>
            </w:r>
            <w:r w:rsidRPr="00985B2C">
              <w:t>B</w:t>
            </w:r>
            <w:r>
              <w:t>.</w:t>
            </w:r>
            <w:r w:rsidRPr="00985B2C">
              <w:t xml:space="preserve"> 4125 </w:t>
            </w:r>
            <w:r>
              <w:t xml:space="preserve">seeks to address these concerns by providing for </w:t>
            </w:r>
            <w:r w:rsidRPr="00985B2C">
              <w:t>a tenan</w:t>
            </w:r>
            <w:r w:rsidRPr="00985B2C">
              <w:t>t legal services office</w:t>
            </w:r>
            <w:r>
              <w:t xml:space="preserve"> for </w:t>
            </w:r>
            <w:r>
              <w:t>certain local governments</w:t>
            </w:r>
            <w:r>
              <w:t>.</w:t>
            </w:r>
            <w:r w:rsidRPr="00985B2C">
              <w:t xml:space="preserve">   </w:t>
            </w:r>
          </w:p>
          <w:p w:rsidR="008423E4" w:rsidRPr="00E26B13" w:rsidRDefault="00F1793F" w:rsidP="00B329DF">
            <w:pPr>
              <w:rPr>
                <w:b/>
              </w:rPr>
            </w:pPr>
          </w:p>
        </w:tc>
      </w:tr>
      <w:tr w:rsidR="00596527" w:rsidTr="00345119">
        <w:tc>
          <w:tcPr>
            <w:tcW w:w="9576" w:type="dxa"/>
          </w:tcPr>
          <w:p w:rsidR="0017725B" w:rsidRDefault="00F1793F" w:rsidP="00B329D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F1793F" w:rsidP="00B329DF">
            <w:pPr>
              <w:rPr>
                <w:b/>
                <w:u w:val="single"/>
              </w:rPr>
            </w:pPr>
          </w:p>
          <w:p w:rsidR="00A16F76" w:rsidRPr="00A16F76" w:rsidRDefault="00F1793F" w:rsidP="00B329DF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</w:t>
            </w:r>
            <w:r>
              <w:t>, or change the eligibility of a person for community supervision, parole, or mandatory supervision.</w:t>
            </w:r>
          </w:p>
          <w:p w:rsidR="0017725B" w:rsidRPr="0017725B" w:rsidRDefault="00F1793F" w:rsidP="00B329DF">
            <w:pPr>
              <w:rPr>
                <w:b/>
                <w:u w:val="single"/>
              </w:rPr>
            </w:pPr>
          </w:p>
        </w:tc>
      </w:tr>
      <w:tr w:rsidR="00596527" w:rsidTr="00345119">
        <w:tc>
          <w:tcPr>
            <w:tcW w:w="9576" w:type="dxa"/>
          </w:tcPr>
          <w:p w:rsidR="008423E4" w:rsidRPr="00A8133F" w:rsidRDefault="00F1793F" w:rsidP="00B329D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F1793F" w:rsidP="00B329DF"/>
          <w:p w:rsidR="00A16F76" w:rsidRDefault="00F1793F" w:rsidP="00B329D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</w:t>
            </w:r>
            <w:r>
              <w:t>department, agency, or institution.</w:t>
            </w:r>
          </w:p>
          <w:p w:rsidR="008423E4" w:rsidRPr="00E21FDC" w:rsidRDefault="00F1793F" w:rsidP="00B329DF">
            <w:pPr>
              <w:rPr>
                <w:b/>
              </w:rPr>
            </w:pPr>
          </w:p>
        </w:tc>
      </w:tr>
      <w:tr w:rsidR="00596527" w:rsidTr="00345119">
        <w:tc>
          <w:tcPr>
            <w:tcW w:w="9576" w:type="dxa"/>
          </w:tcPr>
          <w:p w:rsidR="00B329DF" w:rsidRDefault="00F1793F" w:rsidP="00B329DF">
            <w:pPr>
              <w:rPr>
                <w:b/>
                <w:u w:val="single"/>
              </w:rPr>
            </w:pPr>
            <w:r w:rsidRPr="009C1E9A">
              <w:rPr>
                <w:b/>
                <w:u w:val="single"/>
              </w:rPr>
              <w:t>ANALYSIS</w:t>
            </w:r>
          </w:p>
          <w:p w:rsidR="008423E4" w:rsidRPr="00EE6B0F" w:rsidRDefault="00F1793F" w:rsidP="00B329DF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8423E4" w:rsidRDefault="00F1793F" w:rsidP="00B329DF">
            <w:pPr>
              <w:pStyle w:val="Header"/>
              <w:jc w:val="both"/>
            </w:pPr>
            <w:r>
              <w:t>C.S.</w:t>
            </w:r>
            <w:r>
              <w:t xml:space="preserve">H.B. 4125 amends the Local Government Code to </w:t>
            </w:r>
            <w:r>
              <w:t>authorize a local government</w:t>
            </w:r>
            <w:r>
              <w:t xml:space="preserve"> that is </w:t>
            </w:r>
            <w:r w:rsidRPr="00BB1B6F">
              <w:t>a municipality or county or any combination of municipalities or counties</w:t>
            </w:r>
            <w:r>
              <w:t xml:space="preserve"> </w:t>
            </w:r>
            <w:r>
              <w:t xml:space="preserve">to </w:t>
            </w:r>
            <w:r w:rsidRPr="00BC0951">
              <w:t>create a tenant legal services office</w:t>
            </w:r>
            <w:r w:rsidRPr="00BC0951">
              <w:t xml:space="preserve"> to provide legal representation and services to tenants.</w:t>
            </w:r>
            <w:r>
              <w:t xml:space="preserve"> </w:t>
            </w:r>
            <w:r>
              <w:t xml:space="preserve">The bill authorizes </w:t>
            </w:r>
            <w:r>
              <w:t xml:space="preserve">such </w:t>
            </w:r>
            <w:r>
              <w:t xml:space="preserve">an office to provide full legal representation to a tenant in a residential eviction case if the tenant is indigent or in a case involving a violation of </w:t>
            </w:r>
            <w:r>
              <w:t>disability provisio</w:t>
            </w:r>
            <w:r>
              <w:t xml:space="preserve">ns of </w:t>
            </w:r>
            <w:r w:rsidRPr="00176524">
              <w:t>the Texas Fair Housing Act</w:t>
            </w:r>
            <w:r>
              <w:t xml:space="preserve"> if the tenant is a low-income individual with a disability</w:t>
            </w:r>
            <w:r>
              <w:t xml:space="preserve">. </w:t>
            </w:r>
            <w:r>
              <w:t>A tenant legal services</w:t>
            </w:r>
            <w:r w:rsidRPr="00176524">
              <w:t xml:space="preserve"> office </w:t>
            </w:r>
            <w:r>
              <w:t>may</w:t>
            </w:r>
            <w:r w:rsidRPr="00176524">
              <w:t xml:space="preserve"> provide</w:t>
            </w:r>
            <w:r>
              <w:t xml:space="preserve"> </w:t>
            </w:r>
            <w:r w:rsidRPr="00176524">
              <w:t>brief legal assistance to a tenant in a residential eviction case if the tenant is a low</w:t>
            </w:r>
            <w:r>
              <w:noBreakHyphen/>
            </w:r>
            <w:r w:rsidRPr="00176524">
              <w:t>income individual who is not in</w:t>
            </w:r>
            <w:r w:rsidRPr="00176524">
              <w:t>digent</w:t>
            </w:r>
            <w:r>
              <w:t xml:space="preserve">. The bill defines, among other terms, </w:t>
            </w:r>
            <w:r w:rsidRPr="00176524">
              <w:t>"</w:t>
            </w:r>
            <w:r>
              <w:t>f</w:t>
            </w:r>
            <w:r w:rsidRPr="00176524">
              <w:t>ull legal representation</w:t>
            </w:r>
            <w:r>
              <w:t>,</w:t>
            </w:r>
            <w:r w:rsidRPr="00176524">
              <w:t>"</w:t>
            </w:r>
            <w:r>
              <w:t xml:space="preserve"> </w:t>
            </w:r>
            <w:r w:rsidRPr="00176524">
              <w:t>"</w:t>
            </w:r>
            <w:r>
              <w:t>b</w:t>
            </w:r>
            <w:r w:rsidRPr="00176524">
              <w:t>rief legal assistance</w:t>
            </w:r>
            <w:r>
              <w:t>,</w:t>
            </w:r>
            <w:r w:rsidRPr="00176524">
              <w:t>"</w:t>
            </w:r>
            <w:r>
              <w:t xml:space="preserve"> </w:t>
            </w:r>
            <w:r w:rsidRPr="00176524">
              <w:t>"</w:t>
            </w:r>
            <w:r>
              <w:t>i</w:t>
            </w:r>
            <w:r w:rsidRPr="00176524">
              <w:t>ndigent</w:t>
            </w:r>
            <w:r>
              <w:t>,</w:t>
            </w:r>
            <w:r w:rsidRPr="00176524">
              <w:t>"</w:t>
            </w:r>
            <w:r>
              <w:t xml:space="preserve"> and </w:t>
            </w:r>
            <w:r w:rsidRPr="00176524">
              <w:t>"</w:t>
            </w:r>
            <w:r>
              <w:t>l</w:t>
            </w:r>
            <w:r w:rsidRPr="00176524">
              <w:t>ow-income</w:t>
            </w:r>
            <w:r>
              <w:t>.</w:t>
            </w:r>
            <w:r w:rsidRPr="00176524">
              <w:t>"</w:t>
            </w:r>
            <w:r>
              <w:t xml:space="preserve"> </w:t>
            </w:r>
            <w:r>
              <w:t>The bill authorizes a</w:t>
            </w:r>
            <w:r>
              <w:t xml:space="preserve"> </w:t>
            </w:r>
            <w:r>
              <w:t>local government</w:t>
            </w:r>
            <w:r>
              <w:t xml:space="preserve"> to </w:t>
            </w:r>
            <w:r w:rsidRPr="0027391D">
              <w:t xml:space="preserve">establish a department of the </w:t>
            </w:r>
            <w:r>
              <w:t>local government</w:t>
            </w:r>
            <w:r>
              <w:t>,</w:t>
            </w:r>
            <w:r w:rsidRPr="0027391D">
              <w:t xml:space="preserve"> or by contract </w:t>
            </w:r>
            <w:r>
              <w:t xml:space="preserve">to </w:t>
            </w:r>
            <w:r w:rsidRPr="0027391D">
              <w:t xml:space="preserve">designate a </w:t>
            </w:r>
            <w:r w:rsidRPr="0027391D">
              <w:t>nonprofit corporation</w:t>
            </w:r>
            <w:r>
              <w:t>,</w:t>
            </w:r>
            <w:r w:rsidRPr="0027391D">
              <w:t xml:space="preserve"> to serve as the tenant legal</w:t>
            </w:r>
            <w:r>
              <w:t xml:space="preserve"> services office for the </w:t>
            </w:r>
            <w:r>
              <w:t>local government</w:t>
            </w:r>
            <w:r>
              <w:t xml:space="preserve">. The bill </w:t>
            </w:r>
            <w:r>
              <w:t>authorizes any combination of municipalities or counties to agree by entering into an interlocal contract</w:t>
            </w:r>
            <w:r>
              <w:t xml:space="preserve"> under </w:t>
            </w:r>
            <w:r w:rsidRPr="004B5CE4">
              <w:t>the Interlocal Cooperation Act</w:t>
            </w:r>
            <w:r>
              <w:t xml:space="preserve"> </w:t>
            </w:r>
            <w:r>
              <w:t>to jointly</w:t>
            </w:r>
            <w:r>
              <w:t xml:space="preserve"> implement or administer a</w:t>
            </w:r>
            <w:r>
              <w:t xml:space="preserve"> tenant legal services</w:t>
            </w:r>
            <w:r>
              <w:t xml:space="preserve"> office. The bill </w:t>
            </w:r>
            <w:r>
              <w:t xml:space="preserve">authorizes </w:t>
            </w:r>
            <w:r>
              <w:t>a</w:t>
            </w:r>
            <w:r>
              <w:t xml:space="preserve"> </w:t>
            </w:r>
            <w:r>
              <w:t>local government</w:t>
            </w:r>
            <w:r>
              <w:t xml:space="preserve"> by </w:t>
            </w:r>
            <w:r>
              <w:t xml:space="preserve">ordinance, </w:t>
            </w:r>
            <w:r>
              <w:t>order</w:t>
            </w:r>
            <w:r>
              <w:t>, or in</w:t>
            </w:r>
            <w:r>
              <w:t>t</w:t>
            </w:r>
            <w:r>
              <w:t xml:space="preserve">erlocal </w:t>
            </w:r>
            <w:r>
              <w:t>contract to</w:t>
            </w:r>
            <w:r>
              <w:t xml:space="preserve"> </w:t>
            </w:r>
            <w:r>
              <w:t>adopt</w:t>
            </w:r>
            <w:r w:rsidRPr="0027391D">
              <w:t xml:space="preserve"> the rules and procedures necessary </w:t>
            </w:r>
            <w:r>
              <w:t>to implement the bill's provisions</w:t>
            </w:r>
            <w:r>
              <w:t xml:space="preserve">. </w:t>
            </w:r>
          </w:p>
          <w:p w:rsidR="0027391D" w:rsidRDefault="00F1793F" w:rsidP="00B329D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27391D" w:rsidRDefault="00F1793F" w:rsidP="00B329D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4125 requires a</w:t>
            </w:r>
            <w:r>
              <w:t xml:space="preserve"> </w:t>
            </w:r>
            <w:r>
              <w:t>local gov</w:t>
            </w:r>
            <w:r>
              <w:t>ernment</w:t>
            </w:r>
            <w:r>
              <w:t xml:space="preserve">, before </w:t>
            </w:r>
            <w:r w:rsidRPr="0027391D">
              <w:t>contracting with a nonprofit corporation to serve</w:t>
            </w:r>
            <w:r>
              <w:t xml:space="preserve"> as </w:t>
            </w:r>
            <w:r w:rsidRPr="009B7189">
              <w:t>a tenant legal services office</w:t>
            </w:r>
            <w:r>
              <w:t xml:space="preserve">, to </w:t>
            </w:r>
            <w:r w:rsidRPr="0027391D">
              <w:t>s</w:t>
            </w:r>
            <w:r>
              <w:t xml:space="preserve">olicit proposals for the office. The bill requires the </w:t>
            </w:r>
            <w:r>
              <w:t>local government</w:t>
            </w:r>
            <w:r>
              <w:t xml:space="preserve"> to require a written plan from a nonprofit corporation proposing to serve as </w:t>
            </w:r>
            <w:r>
              <w:t xml:space="preserve">a </w:t>
            </w:r>
            <w:r>
              <w:t>tenant legal services</w:t>
            </w:r>
            <w:r w:rsidRPr="009B7189">
              <w:t xml:space="preserve"> office</w:t>
            </w:r>
            <w:r>
              <w:t xml:space="preserve"> and sets out required contents </w:t>
            </w:r>
            <w:r>
              <w:t xml:space="preserve">for </w:t>
            </w:r>
            <w:r>
              <w:t>the</w:t>
            </w:r>
            <w:r>
              <w:t xml:space="preserve"> plan. The bill requires the</w:t>
            </w:r>
            <w:r>
              <w:t xml:space="preserve"> </w:t>
            </w:r>
            <w:r>
              <w:t>local government</w:t>
            </w:r>
            <w:r>
              <w:t xml:space="preserve">, after </w:t>
            </w:r>
            <w:r w:rsidRPr="0027391D">
              <w:t>considering each proposal for the office</w:t>
            </w:r>
            <w:r>
              <w:t xml:space="preserve"> submitted by a </w:t>
            </w:r>
            <w:r w:rsidRPr="0027391D">
              <w:t xml:space="preserve">nonprofit corporation, </w:t>
            </w:r>
            <w:r>
              <w:t>to</w:t>
            </w:r>
            <w:r w:rsidRPr="0027391D">
              <w:t xml:space="preserve"> select a proposal that reasonably demonstrates that th</w:t>
            </w:r>
            <w:r w:rsidRPr="0027391D">
              <w:t xml:space="preserve">e office will provide adequate quality representation for tenants in </w:t>
            </w:r>
            <w:r>
              <w:t>applicable cases</w:t>
            </w:r>
            <w:r w:rsidRPr="0027391D">
              <w:t>.</w:t>
            </w:r>
            <w:r>
              <w:t xml:space="preserve"> The bill prohibits the total cost of the proposal from being the sole consideration in selecting a proposal. </w:t>
            </w:r>
          </w:p>
          <w:p w:rsidR="0027391D" w:rsidRPr="00BB7C11" w:rsidRDefault="00F1793F" w:rsidP="00B329DF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22"/>
              </w:rPr>
            </w:pPr>
          </w:p>
          <w:p w:rsidR="00EF7656" w:rsidRDefault="00F1793F" w:rsidP="00B329DF">
            <w:pPr>
              <w:pStyle w:val="Header"/>
              <w:jc w:val="both"/>
            </w:pPr>
            <w:r>
              <w:t>C.S.</w:t>
            </w:r>
            <w:r>
              <w:t xml:space="preserve">H.B. 4125 requires </w:t>
            </w:r>
            <w:r>
              <w:t>a</w:t>
            </w:r>
            <w:r w:rsidRPr="006F6F71">
              <w:t xml:space="preserve"> tenant legal services office </w:t>
            </w:r>
            <w:r>
              <w:t xml:space="preserve">to be directed by a director of legal services who meets </w:t>
            </w:r>
            <w:r>
              <w:t xml:space="preserve">specified </w:t>
            </w:r>
            <w:r>
              <w:t>qualifications</w:t>
            </w:r>
            <w:r>
              <w:t xml:space="preserve">. </w:t>
            </w:r>
            <w:r w:rsidRPr="00EE11F3">
              <w:t xml:space="preserve">The bill </w:t>
            </w:r>
            <w:r w:rsidRPr="00EE11F3">
              <w:t>entitles</w:t>
            </w:r>
            <w:r>
              <w:t xml:space="preserve"> </w:t>
            </w:r>
            <w:r>
              <w:t>an office</w:t>
            </w:r>
            <w:r w:rsidRPr="0027391D">
              <w:t xml:space="preserve"> to receive funds for personnel costs and expenses incurred in operating the office in amounts determined by the </w:t>
            </w:r>
            <w:r>
              <w:t>local government</w:t>
            </w:r>
            <w:r w:rsidRPr="0027391D">
              <w:t xml:space="preserve"> and paid out of </w:t>
            </w:r>
            <w:r w:rsidRPr="0027391D">
              <w:t xml:space="preserve">the appropriate </w:t>
            </w:r>
            <w:r>
              <w:t>local</w:t>
            </w:r>
            <w:r w:rsidRPr="0027391D">
              <w:t xml:space="preserve"> fund.</w:t>
            </w:r>
            <w:r>
              <w:t xml:space="preserve"> The bill authorizes </w:t>
            </w:r>
            <w:r>
              <w:t>an</w:t>
            </w:r>
            <w:r>
              <w:t xml:space="preserve"> office to </w:t>
            </w:r>
            <w:r w:rsidRPr="0027391D">
              <w:t>employ attorneys and other personnel necessary to perform the duties of the office as specified by the</w:t>
            </w:r>
            <w:r>
              <w:t xml:space="preserve"> </w:t>
            </w:r>
            <w:r>
              <w:t>local government</w:t>
            </w:r>
            <w:r>
              <w:t>.</w:t>
            </w:r>
            <w:r>
              <w:t xml:space="preserve"> The bill requires the director of </w:t>
            </w:r>
            <w:r>
              <w:t>an</w:t>
            </w:r>
            <w:r>
              <w:t xml:space="preserve"> office to designate at least one empl</w:t>
            </w:r>
            <w:r>
              <w:t>oyee of the office to assist tenants with disabilities in obtaining compliance with laws that apply to housing for tenants with disabilities.</w:t>
            </w:r>
            <w:r>
              <w:t xml:space="preserve"> The bill prohibits </w:t>
            </w:r>
            <w:r>
              <w:t xml:space="preserve">an </w:t>
            </w:r>
            <w:r>
              <w:t xml:space="preserve">office from representing a tenant </w:t>
            </w:r>
            <w:r>
              <w:t xml:space="preserve">under certain conditions </w:t>
            </w:r>
            <w:r>
              <w:t>and</w:t>
            </w:r>
            <w:r>
              <w:t xml:space="preserve"> authorizes </w:t>
            </w:r>
            <w:r>
              <w:t xml:space="preserve">an </w:t>
            </w:r>
            <w:r>
              <w:t>office to inves</w:t>
            </w:r>
            <w:r>
              <w:t xml:space="preserve">tigate </w:t>
            </w:r>
            <w:r w:rsidRPr="00A16F76">
              <w:t>the financial condition of a tenant who requests representation by the office.</w:t>
            </w:r>
            <w:r>
              <w:t xml:space="preserve"> </w:t>
            </w:r>
          </w:p>
          <w:p w:rsidR="00EF7656" w:rsidRDefault="00F1793F" w:rsidP="00B329DF">
            <w:pPr>
              <w:pStyle w:val="Header"/>
              <w:jc w:val="both"/>
            </w:pPr>
          </w:p>
          <w:p w:rsidR="00504B28" w:rsidRPr="00A16F76" w:rsidRDefault="00F1793F" w:rsidP="00B329DF">
            <w:pPr>
              <w:pStyle w:val="Header"/>
              <w:jc w:val="both"/>
              <w:rPr>
                <w:b/>
              </w:rPr>
            </w:pPr>
            <w:r>
              <w:t xml:space="preserve">C.S.H.B. 4125 </w:t>
            </w:r>
            <w:r>
              <w:t xml:space="preserve">requires the director of </w:t>
            </w:r>
            <w:r>
              <w:t>a tenant legal services</w:t>
            </w:r>
            <w:r>
              <w:t xml:space="preserve"> office to hold an annual public hearing to receive recommendations about the office and </w:t>
            </w:r>
            <w:r>
              <w:t>provides for noti</w:t>
            </w:r>
            <w:r>
              <w:t>ce and a transcript of the hearing.</w:t>
            </w:r>
            <w:r>
              <w:t xml:space="preserve"> The bill</w:t>
            </w:r>
            <w:r>
              <w:t xml:space="preserve"> requires the director of a</w:t>
            </w:r>
            <w:r>
              <w:t>n</w:t>
            </w:r>
            <w:r>
              <w:t xml:space="preserve"> office, not later than September 1 of each year, to </w:t>
            </w:r>
            <w:r w:rsidRPr="00504B28">
              <w:t xml:space="preserve">submit a report to the governing body of the local government and post the report on the local government's website that contains </w:t>
            </w:r>
            <w:r>
              <w:t>s</w:t>
            </w:r>
            <w:r>
              <w:t xml:space="preserve">pecified </w:t>
            </w:r>
            <w:r w:rsidRPr="00504B28">
              <w:t>information that relates to the office for the preceding year</w:t>
            </w:r>
            <w:r>
              <w:t xml:space="preserve">. </w:t>
            </w:r>
          </w:p>
          <w:p w:rsidR="008423E4" w:rsidRPr="00835628" w:rsidRDefault="00F1793F" w:rsidP="00B329DF">
            <w:pPr>
              <w:rPr>
                <w:b/>
              </w:rPr>
            </w:pPr>
          </w:p>
        </w:tc>
      </w:tr>
      <w:tr w:rsidR="00596527" w:rsidTr="00345119">
        <w:tc>
          <w:tcPr>
            <w:tcW w:w="9576" w:type="dxa"/>
          </w:tcPr>
          <w:p w:rsidR="008423E4" w:rsidRPr="00A8133F" w:rsidRDefault="00F1793F" w:rsidP="00B329D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F1793F" w:rsidP="00B329DF"/>
          <w:p w:rsidR="008423E4" w:rsidRPr="003624F2" w:rsidRDefault="00F1793F" w:rsidP="00B329D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F1793F" w:rsidP="00B329DF">
            <w:pPr>
              <w:rPr>
                <w:b/>
              </w:rPr>
            </w:pPr>
          </w:p>
        </w:tc>
      </w:tr>
      <w:tr w:rsidR="00596527" w:rsidTr="00345119">
        <w:tc>
          <w:tcPr>
            <w:tcW w:w="9576" w:type="dxa"/>
          </w:tcPr>
          <w:p w:rsidR="00EE6B0F" w:rsidRDefault="00F1793F" w:rsidP="00B329DF">
            <w:pPr>
              <w:contextualSpacing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B329DF" w:rsidRDefault="00F1793F" w:rsidP="00B329DF">
            <w:pPr>
              <w:contextualSpacing/>
              <w:jc w:val="both"/>
              <w:rPr>
                <w:b/>
                <w:u w:val="single"/>
              </w:rPr>
            </w:pPr>
          </w:p>
          <w:p w:rsidR="00AD3CC1" w:rsidRDefault="00F1793F" w:rsidP="00B329DF">
            <w:pPr>
              <w:contextualSpacing/>
              <w:jc w:val="both"/>
            </w:pPr>
            <w:r>
              <w:t>While C.S.H.B. 4125 may differ from the</w:t>
            </w:r>
            <w:r>
              <w:t xml:space="preserve"> original in minor or nonsubstantive ways, the following summarizes the substantial differences between the introduced and committee substitute versions of the bill.</w:t>
            </w:r>
          </w:p>
          <w:p w:rsidR="00AD3CC1" w:rsidRDefault="00F1793F" w:rsidP="00B329DF">
            <w:pPr>
              <w:contextualSpacing/>
              <w:jc w:val="both"/>
            </w:pPr>
          </w:p>
          <w:p w:rsidR="002012C0" w:rsidRDefault="00F1793F" w:rsidP="00B329DF">
            <w:pPr>
              <w:contextualSpacing/>
              <w:jc w:val="both"/>
            </w:pPr>
            <w:r>
              <w:t>The substitute does not include a provision requiring t</w:t>
            </w:r>
            <w:r w:rsidRPr="00270C37">
              <w:t>he commissioners court of a county</w:t>
            </w:r>
            <w:r w:rsidRPr="00270C37">
              <w:t xml:space="preserve"> </w:t>
            </w:r>
            <w:r>
              <w:t>to</w:t>
            </w:r>
            <w:r w:rsidRPr="00270C37">
              <w:t xml:space="preserve"> create a tenant legal services office to provide legal representation and services to indigent residential tenants in eviction cases</w:t>
            </w:r>
            <w:r>
              <w:t>. The substitute includes a provision that instead authorizes an applicable local government to create</w:t>
            </w:r>
            <w:r>
              <w:t xml:space="preserve"> such</w:t>
            </w:r>
            <w:r>
              <w:t xml:space="preserve"> a</w:t>
            </w:r>
            <w:r>
              <w:t>n</w:t>
            </w:r>
            <w:r>
              <w:t xml:space="preserve"> office to</w:t>
            </w:r>
            <w:r>
              <w:t xml:space="preserve"> provide legal representation and services to tenants. The substitute includes provisions that</w:t>
            </w:r>
            <w:r>
              <w:t xml:space="preserve"> authorize an office to provide</w:t>
            </w:r>
            <w:r>
              <w:t>:</w:t>
            </w:r>
          </w:p>
          <w:p w:rsidR="002012C0" w:rsidRDefault="00F1793F" w:rsidP="00B329DF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 w:val="0"/>
              <w:jc w:val="both"/>
            </w:pPr>
            <w:r w:rsidRPr="002012C0">
              <w:t>full legal representation to a tenant in a residential eviction case if the tenant is indigent or in a case involving a violation</w:t>
            </w:r>
            <w:r w:rsidRPr="002012C0">
              <w:t xml:space="preserve"> of disability provisions of the Texas Fair Housing Act if the tenant is a low-inco</w:t>
            </w:r>
            <w:r>
              <w:t>me i</w:t>
            </w:r>
            <w:r>
              <w:t>ndividual with a disability; or</w:t>
            </w:r>
            <w:r w:rsidRPr="002012C0">
              <w:t xml:space="preserve"> </w:t>
            </w:r>
          </w:p>
          <w:p w:rsidR="008854C1" w:rsidRDefault="00F1793F" w:rsidP="00B329DF">
            <w:pPr>
              <w:pStyle w:val="ListParagraph"/>
              <w:numPr>
                <w:ilvl w:val="0"/>
                <w:numId w:val="1"/>
              </w:numPr>
              <w:spacing w:before="120"/>
              <w:contextualSpacing w:val="0"/>
              <w:jc w:val="both"/>
            </w:pPr>
            <w:r w:rsidRPr="002012C0">
              <w:t>brief legal assistance to a tenant in a residential eviction case if the tenant is a low-income individual who is not indigent.</w:t>
            </w:r>
          </w:p>
          <w:p w:rsidR="008854C1" w:rsidRDefault="00F1793F" w:rsidP="00B329DF">
            <w:pPr>
              <w:contextualSpacing/>
              <w:jc w:val="both"/>
            </w:pPr>
          </w:p>
          <w:p w:rsidR="002012C0" w:rsidRDefault="00F1793F" w:rsidP="00B329DF">
            <w:pPr>
              <w:contextualSpacing/>
              <w:jc w:val="both"/>
            </w:pPr>
            <w:r>
              <w:t>The sub</w:t>
            </w:r>
            <w:r>
              <w:t xml:space="preserve">stitute revises the bill's definition of "indigent" </w:t>
            </w:r>
            <w:r>
              <w:t xml:space="preserve">to increase the income threshold </w:t>
            </w:r>
            <w:r>
              <w:t>and includes, among other definition</w:t>
            </w:r>
            <w:r>
              <w:t>s</w:t>
            </w:r>
            <w:r>
              <w:t>, a definition for "low-income."</w:t>
            </w:r>
          </w:p>
          <w:p w:rsidR="00CF4FF6" w:rsidRDefault="00F1793F" w:rsidP="00B329DF">
            <w:pPr>
              <w:contextualSpacing/>
              <w:jc w:val="both"/>
            </w:pPr>
          </w:p>
          <w:p w:rsidR="00107C8D" w:rsidRDefault="00F1793F" w:rsidP="00B329DF">
            <w:pPr>
              <w:contextualSpacing/>
              <w:jc w:val="both"/>
            </w:pPr>
            <w:r>
              <w:t xml:space="preserve">The substitute includes a provision </w:t>
            </w:r>
            <w:r w:rsidRPr="00CF4FF6">
              <w:t>authoriz</w:t>
            </w:r>
            <w:r>
              <w:t>ing</w:t>
            </w:r>
            <w:r w:rsidRPr="00CF4FF6">
              <w:t xml:space="preserve"> any combination of municipalities or counties to agr</w:t>
            </w:r>
            <w:r w:rsidRPr="00CF4FF6">
              <w:t>ee by entering into an interlocal contract to jointly implement or administer a tenant legal services office.</w:t>
            </w:r>
            <w:r>
              <w:t xml:space="preserve"> The substitute includes a provision requiring t</w:t>
            </w:r>
            <w:r w:rsidRPr="00CF4FF6">
              <w:t xml:space="preserve">he director of a tenant legal services office </w:t>
            </w:r>
            <w:r>
              <w:t>to</w:t>
            </w:r>
            <w:r w:rsidRPr="00CF4FF6">
              <w:t xml:space="preserve"> designate at least one employee of the office to a</w:t>
            </w:r>
            <w:r w:rsidRPr="00CF4FF6">
              <w:t>ssist tenants with disabilities in obtaining compliance with laws that apply to housing for tenants with disabilities</w:t>
            </w:r>
            <w:r>
              <w:t>. The substitute includes provisions providing for an annual public hearing and an annual report.</w:t>
            </w:r>
          </w:p>
          <w:p w:rsidR="00AD3CC1" w:rsidRPr="00AD3CC1" w:rsidRDefault="00F1793F" w:rsidP="00B329DF">
            <w:pPr>
              <w:contextualSpacing/>
              <w:jc w:val="both"/>
            </w:pPr>
          </w:p>
        </w:tc>
      </w:tr>
      <w:tr w:rsidR="00596527" w:rsidTr="00345119">
        <w:tc>
          <w:tcPr>
            <w:tcW w:w="9576" w:type="dxa"/>
          </w:tcPr>
          <w:p w:rsidR="00EE6B0F" w:rsidRPr="009C1E9A" w:rsidRDefault="00F1793F" w:rsidP="00B329DF">
            <w:pPr>
              <w:rPr>
                <w:b/>
                <w:u w:val="single"/>
              </w:rPr>
            </w:pPr>
          </w:p>
        </w:tc>
      </w:tr>
      <w:tr w:rsidR="00596527" w:rsidTr="00345119">
        <w:tc>
          <w:tcPr>
            <w:tcW w:w="9576" w:type="dxa"/>
          </w:tcPr>
          <w:p w:rsidR="00EE6B0F" w:rsidRPr="00EE6B0F" w:rsidRDefault="00F1793F" w:rsidP="00B329DF">
            <w:pPr>
              <w:jc w:val="both"/>
            </w:pPr>
          </w:p>
        </w:tc>
      </w:tr>
    </w:tbl>
    <w:p w:rsidR="008423E4" w:rsidRPr="00BE0E75" w:rsidRDefault="00F1793F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F1793F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1793F">
      <w:r>
        <w:separator/>
      </w:r>
    </w:p>
  </w:endnote>
  <w:endnote w:type="continuationSeparator" w:id="0">
    <w:p w:rsidR="00000000" w:rsidRDefault="00F17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179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96527" w:rsidTr="009C1E9A">
      <w:trPr>
        <w:cantSplit/>
      </w:trPr>
      <w:tc>
        <w:tcPr>
          <w:tcW w:w="0" w:type="pct"/>
        </w:tcPr>
        <w:p w:rsidR="00137D90" w:rsidRDefault="00F1793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F1793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F1793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F1793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F1793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96527" w:rsidTr="009C1E9A">
      <w:trPr>
        <w:cantSplit/>
      </w:trPr>
      <w:tc>
        <w:tcPr>
          <w:tcW w:w="0" w:type="pct"/>
        </w:tcPr>
        <w:p w:rsidR="00EC379B" w:rsidRDefault="00F1793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F1793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31501</w:t>
          </w:r>
        </w:p>
      </w:tc>
      <w:tc>
        <w:tcPr>
          <w:tcW w:w="2453" w:type="pct"/>
        </w:tcPr>
        <w:p w:rsidR="00EC379B" w:rsidRDefault="00F1793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19.123.355</w:t>
          </w:r>
          <w:r>
            <w:fldChar w:fldCharType="end"/>
          </w:r>
        </w:p>
      </w:tc>
    </w:tr>
    <w:tr w:rsidR="00596527" w:rsidTr="009C1E9A">
      <w:trPr>
        <w:cantSplit/>
      </w:trPr>
      <w:tc>
        <w:tcPr>
          <w:tcW w:w="0" w:type="pct"/>
        </w:tcPr>
        <w:p w:rsidR="00EC379B" w:rsidRDefault="00F1793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F1793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22944</w:t>
          </w:r>
        </w:p>
      </w:tc>
      <w:tc>
        <w:tcPr>
          <w:tcW w:w="2453" w:type="pct"/>
        </w:tcPr>
        <w:p w:rsidR="00EC379B" w:rsidRDefault="00F1793F" w:rsidP="006D504F">
          <w:pPr>
            <w:pStyle w:val="Footer"/>
            <w:rPr>
              <w:rStyle w:val="PageNumber"/>
            </w:rPr>
          </w:pPr>
        </w:p>
        <w:p w:rsidR="00EC379B" w:rsidRDefault="00F1793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96527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F1793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F1793F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F1793F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179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1793F">
      <w:r>
        <w:separator/>
      </w:r>
    </w:p>
  </w:footnote>
  <w:footnote w:type="continuationSeparator" w:id="0">
    <w:p w:rsidR="00000000" w:rsidRDefault="00F17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179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179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179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D13C8"/>
    <w:multiLevelType w:val="hybridMultilevel"/>
    <w:tmpl w:val="121AD930"/>
    <w:lvl w:ilvl="0" w:tplc="6FE622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8C37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36DC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0CB6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841A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D076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9689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4ECB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C89C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527"/>
    <w:rsid w:val="00596527"/>
    <w:rsid w:val="00F1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4CD04DB-177E-43F7-81CB-02A9DB057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16F7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16F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16F7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6F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16F76"/>
    <w:rPr>
      <w:b/>
      <w:bCs/>
    </w:rPr>
  </w:style>
  <w:style w:type="character" w:styleId="Hyperlink">
    <w:name w:val="Hyperlink"/>
    <w:basedOn w:val="DefaultParagraphFont"/>
    <w:unhideWhenUsed/>
    <w:rsid w:val="0017652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072C9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012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996</Words>
  <Characters>5475</Characters>
  <Application>Microsoft Office Word</Application>
  <DocSecurity>4</DocSecurity>
  <Lines>108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HB04125 (Committee Report (Substituted))</vt:lpstr>
    </vt:vector>
  </TitlesOfParts>
  <Company>State of Texas</Company>
  <LinksUpToDate>false</LinksUpToDate>
  <CharactersWithSpaces>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31501</dc:subject>
  <dc:creator>State of Texas</dc:creator>
  <dc:description>HB 4125 by Israel-(H)County Affairs (Substitute Document Number: 86R 22944)</dc:description>
  <cp:lastModifiedBy>Scotty Wimberley</cp:lastModifiedBy>
  <cp:revision>2</cp:revision>
  <cp:lastPrinted>2003-11-26T17:21:00Z</cp:lastPrinted>
  <dcterms:created xsi:type="dcterms:W3CDTF">2019-05-06T15:36:00Z</dcterms:created>
  <dcterms:modified xsi:type="dcterms:W3CDTF">2019-05-06T15:36:00Z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19.123.355</vt:lpwstr>
  </property>
</Properties>
</file>