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5F99" w:rsidTr="00100378">
        <w:tc>
          <w:tcPr>
            <w:tcW w:w="9576" w:type="dxa"/>
            <w:noWrap/>
          </w:tcPr>
          <w:p w:rsidR="008423E4" w:rsidRPr="0022177D" w:rsidRDefault="007836DD" w:rsidP="001003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36DD" w:rsidP="008423E4">
      <w:pPr>
        <w:jc w:val="center"/>
      </w:pPr>
    </w:p>
    <w:p w:rsidR="008423E4" w:rsidRPr="00B31F0E" w:rsidRDefault="007836DD" w:rsidP="008423E4"/>
    <w:p w:rsidR="008423E4" w:rsidRPr="00742794" w:rsidRDefault="007836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5F99" w:rsidTr="00100378">
        <w:tc>
          <w:tcPr>
            <w:tcW w:w="9576" w:type="dxa"/>
          </w:tcPr>
          <w:p w:rsidR="008423E4" w:rsidRPr="00861995" w:rsidRDefault="007836DD" w:rsidP="00100378">
            <w:pPr>
              <w:jc w:val="right"/>
            </w:pPr>
            <w:r>
              <w:t>C.S.H.B. 4153</w:t>
            </w:r>
          </w:p>
        </w:tc>
      </w:tr>
      <w:tr w:rsidR="00745F99" w:rsidTr="00100378">
        <w:tc>
          <w:tcPr>
            <w:tcW w:w="9576" w:type="dxa"/>
          </w:tcPr>
          <w:p w:rsidR="008423E4" w:rsidRPr="00861995" w:rsidRDefault="007836DD" w:rsidP="00F513D2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745F99" w:rsidTr="00100378">
        <w:tc>
          <w:tcPr>
            <w:tcW w:w="9576" w:type="dxa"/>
          </w:tcPr>
          <w:p w:rsidR="008423E4" w:rsidRPr="00861995" w:rsidRDefault="007836DD" w:rsidP="00100378">
            <w:pPr>
              <w:jc w:val="right"/>
            </w:pPr>
            <w:r>
              <w:t>Appropriations</w:t>
            </w:r>
          </w:p>
        </w:tc>
      </w:tr>
      <w:tr w:rsidR="00745F99" w:rsidTr="00100378">
        <w:tc>
          <w:tcPr>
            <w:tcW w:w="9576" w:type="dxa"/>
          </w:tcPr>
          <w:p w:rsidR="008423E4" w:rsidRDefault="007836DD" w:rsidP="0010037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836DD" w:rsidP="008423E4">
      <w:pPr>
        <w:tabs>
          <w:tab w:val="right" w:pos="9360"/>
        </w:tabs>
      </w:pPr>
    </w:p>
    <w:p w:rsidR="008423E4" w:rsidRDefault="007836DD" w:rsidP="008423E4"/>
    <w:p w:rsidR="008423E4" w:rsidRDefault="007836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5F99" w:rsidTr="00100378">
        <w:tc>
          <w:tcPr>
            <w:tcW w:w="9576" w:type="dxa"/>
          </w:tcPr>
          <w:p w:rsidR="008423E4" w:rsidRPr="00A8133F" w:rsidRDefault="007836DD" w:rsidP="009A5A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36DD" w:rsidP="009A5AED"/>
          <w:p w:rsidR="008423E4" w:rsidRDefault="007836DD" w:rsidP="009A5AED">
            <w:pPr>
              <w:pStyle w:val="Header"/>
              <w:jc w:val="both"/>
            </w:pPr>
            <w:r>
              <w:t xml:space="preserve">There have been calls to </w:t>
            </w:r>
            <w:r>
              <w:t>provide</w:t>
            </w:r>
            <w:r>
              <w:t xml:space="preserve"> </w:t>
            </w:r>
            <w:r w:rsidRPr="0066696C">
              <w:t xml:space="preserve">a person entitled to compensation for wrongful imprisonment who </w:t>
            </w:r>
            <w:r>
              <w:t>is</w:t>
            </w:r>
            <w:r>
              <w:t xml:space="preserve"> already</w:t>
            </w:r>
            <w:r w:rsidRPr="0066696C">
              <w:t xml:space="preserve"> receiving annuity payments </w:t>
            </w:r>
            <w:r>
              <w:t xml:space="preserve">with another opportunity </w:t>
            </w:r>
            <w:r>
              <w:t>to elect</w:t>
            </w:r>
            <w:r w:rsidRPr="0066696C">
              <w:t xml:space="preserve"> to receive any remaining payments as alternative annuity payments</w:t>
            </w:r>
            <w:r>
              <w:t>. There have also been calls to provide a person entitled to such compensation with the opportunity to make such an election afte</w:t>
            </w:r>
            <w:r>
              <w:t xml:space="preserve">r experiencing </w:t>
            </w:r>
            <w:r>
              <w:t>certain life-changing events</w:t>
            </w:r>
            <w:r>
              <w:t xml:space="preserve"> and an </w:t>
            </w:r>
            <w:r>
              <w:t>opportunity to include their spouse and beneficiaries in their group health benefit plan coverage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4153 seeks to provide </w:t>
            </w:r>
            <w:r>
              <w:t>those opportunities</w:t>
            </w:r>
            <w:r>
              <w:t>.</w:t>
            </w:r>
          </w:p>
          <w:p w:rsidR="008423E4" w:rsidRPr="00E26B13" w:rsidRDefault="007836DD" w:rsidP="009A5AED">
            <w:pPr>
              <w:rPr>
                <w:b/>
              </w:rPr>
            </w:pPr>
          </w:p>
        </w:tc>
      </w:tr>
      <w:tr w:rsidR="00745F99" w:rsidTr="00100378">
        <w:tc>
          <w:tcPr>
            <w:tcW w:w="9576" w:type="dxa"/>
          </w:tcPr>
          <w:p w:rsidR="0017725B" w:rsidRDefault="007836DD" w:rsidP="009A5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836DD" w:rsidP="009A5AED">
            <w:pPr>
              <w:rPr>
                <w:b/>
                <w:u w:val="single"/>
              </w:rPr>
            </w:pPr>
          </w:p>
          <w:p w:rsidR="009A7929" w:rsidRPr="009A7929" w:rsidRDefault="007836DD" w:rsidP="009A5AED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836DD" w:rsidP="009A5AED">
            <w:pPr>
              <w:rPr>
                <w:b/>
                <w:u w:val="single"/>
              </w:rPr>
            </w:pPr>
          </w:p>
        </w:tc>
      </w:tr>
      <w:tr w:rsidR="00745F99" w:rsidTr="00100378">
        <w:tc>
          <w:tcPr>
            <w:tcW w:w="9576" w:type="dxa"/>
          </w:tcPr>
          <w:p w:rsidR="008423E4" w:rsidRPr="00A8133F" w:rsidRDefault="007836DD" w:rsidP="009A5A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36DD" w:rsidP="009A5AED"/>
          <w:p w:rsidR="009A7929" w:rsidRDefault="007836DD" w:rsidP="009A5A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836DD" w:rsidP="009A5AED">
            <w:pPr>
              <w:rPr>
                <w:b/>
              </w:rPr>
            </w:pPr>
          </w:p>
        </w:tc>
      </w:tr>
      <w:tr w:rsidR="00745F99" w:rsidTr="00100378">
        <w:tc>
          <w:tcPr>
            <w:tcW w:w="9576" w:type="dxa"/>
          </w:tcPr>
          <w:p w:rsidR="008423E4" w:rsidRPr="00A8133F" w:rsidRDefault="007836DD" w:rsidP="009A5A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836DD" w:rsidP="009A5AED"/>
          <w:p w:rsidR="00B32640" w:rsidRDefault="007836DD" w:rsidP="009A5AED">
            <w:pPr>
              <w:pStyle w:val="Header"/>
              <w:jc w:val="both"/>
            </w:pPr>
            <w:r>
              <w:t>C.S.</w:t>
            </w:r>
            <w:r>
              <w:t xml:space="preserve">H.B. 4153 amends the Civil Practice and Remedies Code to </w:t>
            </w:r>
            <w:r>
              <w:t xml:space="preserve">authorize </w:t>
            </w:r>
            <w:r>
              <w:t>the</w:t>
            </w:r>
            <w:r>
              <w:t xml:space="preserve"> spouse and dependents of a person entitled to compensation for wrongful imprisonment to be included in the group health benefit plan coverage </w:t>
            </w:r>
            <w:r>
              <w:t>for which the person qualifies on the basis</w:t>
            </w:r>
            <w:r>
              <w:t xml:space="preserve"> of entitlement to that compensation </w:t>
            </w:r>
            <w:r>
              <w:t xml:space="preserve">as if the </w:t>
            </w:r>
            <w:r>
              <w:t>spouse and dependents</w:t>
            </w:r>
            <w:r>
              <w:t xml:space="preserve"> were employee</w:t>
            </w:r>
            <w:r>
              <w:t>s</w:t>
            </w:r>
            <w:r>
              <w:t xml:space="preserve"> of the Texas Department of Criminal Justice</w:t>
            </w:r>
            <w:r>
              <w:t xml:space="preserve"> (T</w:t>
            </w:r>
            <w:r>
              <w:t>D</w:t>
            </w:r>
            <w:r>
              <w:t>CJ)</w:t>
            </w:r>
            <w:r>
              <w:t xml:space="preserve">. </w:t>
            </w:r>
            <w:r>
              <w:t xml:space="preserve">The bill </w:t>
            </w:r>
            <w:r>
              <w:t>authorizes a person who obtained such coverage before the bill's effective date to elect to include the person'</w:t>
            </w:r>
            <w:r>
              <w:t xml:space="preserve">s spouse and dependents in the person's coverage. The bill </w:t>
            </w:r>
            <w:r>
              <w:t xml:space="preserve">requires </w:t>
            </w:r>
            <w:r>
              <w:t xml:space="preserve">such </w:t>
            </w:r>
            <w:r>
              <w:t xml:space="preserve">an election </w:t>
            </w:r>
            <w:r>
              <w:t>to be made</w:t>
            </w:r>
            <w:r>
              <w:t xml:space="preserve"> not later than March 1, 2020, or during any subsequent open enrollment period applicable to </w:t>
            </w:r>
            <w:r>
              <w:t xml:space="preserve">TDCJ </w:t>
            </w:r>
            <w:r>
              <w:t xml:space="preserve">employees. </w:t>
            </w:r>
          </w:p>
          <w:p w:rsidR="00B32640" w:rsidRDefault="007836DD" w:rsidP="009A5AED">
            <w:pPr>
              <w:pStyle w:val="Header"/>
              <w:jc w:val="both"/>
            </w:pPr>
          </w:p>
          <w:p w:rsidR="00C734AA" w:rsidRDefault="007836DD" w:rsidP="009A5AED">
            <w:pPr>
              <w:pStyle w:val="Header"/>
              <w:jc w:val="both"/>
            </w:pPr>
            <w:r>
              <w:t>C.S.H.B. 4153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a person </w:t>
            </w:r>
            <w:r>
              <w:t>entitled to comp</w:t>
            </w:r>
            <w:r>
              <w:t xml:space="preserve">ensation for wrongful imprisonment </w:t>
            </w:r>
            <w:r>
              <w:t xml:space="preserve">to </w:t>
            </w:r>
            <w:r>
              <w:t xml:space="preserve">elect to receive </w:t>
            </w:r>
            <w:r>
              <w:t xml:space="preserve">reduced </w:t>
            </w:r>
            <w:r>
              <w:t xml:space="preserve">alternative annuity payments instead of standard annuity payments </w:t>
            </w:r>
            <w:r>
              <w:t>after</w:t>
            </w:r>
            <w:r>
              <w:t xml:space="preserve"> the </w:t>
            </w:r>
            <w:r>
              <w:t>general</w:t>
            </w:r>
            <w:r>
              <w:t xml:space="preserve"> deadline for making such an election</w:t>
            </w:r>
            <w:r>
              <w:t xml:space="preserve"> </w:t>
            </w:r>
            <w:r>
              <w:t xml:space="preserve">if </w:t>
            </w:r>
            <w:r>
              <w:t>the claimant experiences one of the following life-changing events</w:t>
            </w:r>
            <w:r>
              <w:t xml:space="preserve"> an</w:t>
            </w:r>
            <w:r>
              <w:t>d makes the election</w:t>
            </w:r>
            <w:r>
              <w:t xml:space="preserve"> not later than the 45th day after</w:t>
            </w:r>
            <w:r>
              <w:t xml:space="preserve"> the date of the event</w:t>
            </w:r>
            <w:r>
              <w:t>:</w:t>
            </w:r>
          </w:p>
          <w:p w:rsidR="00C734AA" w:rsidRDefault="007836DD" w:rsidP="009A5A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change in the employment status of the claimant or a spouse, dependent, or beneficiary of the claimant;</w:t>
            </w:r>
          </w:p>
          <w:p w:rsidR="00C734AA" w:rsidRDefault="007836DD" w:rsidP="009A5A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marriage or divorce of the claimant;</w:t>
            </w:r>
          </w:p>
          <w:p w:rsidR="00C734AA" w:rsidRDefault="007836DD" w:rsidP="009A5A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addition of a dependent of the </w:t>
            </w:r>
            <w:r>
              <w:t>claimant; or</w:t>
            </w:r>
          </w:p>
          <w:p w:rsidR="00C734AA" w:rsidRDefault="007836DD" w:rsidP="009A5A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death of a dependent, spouse, or beneficiary of the claimant.</w:t>
            </w:r>
            <w:r>
              <w:t xml:space="preserve"> </w:t>
            </w:r>
          </w:p>
          <w:p w:rsidR="00C734AA" w:rsidRDefault="007836DD" w:rsidP="009A5A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F6C17" w:rsidRDefault="007836DD" w:rsidP="003E6C78">
            <w:pPr>
              <w:pStyle w:val="Header"/>
              <w:jc w:val="both"/>
            </w:pPr>
            <w:r>
              <w:t>C.S.</w:t>
            </w:r>
            <w:r>
              <w:t xml:space="preserve">H.B. 4153 authorizes a person entitled to compensation </w:t>
            </w:r>
            <w:r>
              <w:t xml:space="preserve">for wrongful imprisonment </w:t>
            </w:r>
            <w:r>
              <w:t xml:space="preserve">who started receiving annuity payments before the bill's effective date to elect to receive any remaining payments as alternative annuity payments by filing the </w:t>
            </w:r>
            <w:r>
              <w:t xml:space="preserve">applicable </w:t>
            </w:r>
            <w:r>
              <w:t>form with the comptroller</w:t>
            </w:r>
            <w:r>
              <w:t xml:space="preserve"> of public accounts</w:t>
            </w:r>
            <w:r>
              <w:t xml:space="preserve"> after December 31, 2019</w:t>
            </w:r>
            <w:r>
              <w:t>,</w:t>
            </w:r>
            <w:r>
              <w:t xml:space="preserve"> and before Mar</w:t>
            </w:r>
            <w:r>
              <w:t xml:space="preserve">ch 1, 2020. </w:t>
            </w:r>
            <w:r>
              <w:t xml:space="preserve">The bill requires the </w:t>
            </w:r>
            <w:r w:rsidRPr="009A7929">
              <w:t xml:space="preserve">value of </w:t>
            </w:r>
            <w:r>
              <w:t>the</w:t>
            </w:r>
            <w:r>
              <w:t xml:space="preserve"> alternative annuity</w:t>
            </w:r>
            <w:r w:rsidRPr="009A7929">
              <w:t xml:space="preserve"> payments </w:t>
            </w:r>
            <w:r>
              <w:t>to be</w:t>
            </w:r>
            <w:r w:rsidRPr="009A7929">
              <w:t xml:space="preserve"> actuarially equivalent to the remaining value of the annuity payments the person would re</w:t>
            </w:r>
            <w:r>
              <w:t xml:space="preserve">ceive absent the election. </w:t>
            </w:r>
            <w:r>
              <w:t xml:space="preserve">The bill's </w:t>
            </w:r>
            <w:r>
              <w:t xml:space="preserve">provisions </w:t>
            </w:r>
            <w:r>
              <w:t xml:space="preserve">expressly </w:t>
            </w:r>
            <w:r>
              <w:t>do</w:t>
            </w:r>
            <w:r w:rsidRPr="009A7929">
              <w:t xml:space="preserve"> not affect the ability </w:t>
            </w:r>
            <w:r w:rsidRPr="009A7929">
              <w:t>of a person to make an election</w:t>
            </w:r>
            <w:r>
              <w:t xml:space="preserve"> to receive alternative annuity payments</w:t>
            </w:r>
            <w:r>
              <w:t xml:space="preserve"> </w:t>
            </w:r>
            <w:r w:rsidRPr="009A7929">
              <w:t>following a</w:t>
            </w:r>
            <w:r>
              <w:t>n applicable</w:t>
            </w:r>
            <w:r w:rsidRPr="009A7929">
              <w:t xml:space="preserve"> life-changing event described by </w:t>
            </w:r>
            <w:r>
              <w:t xml:space="preserve">the bill. </w:t>
            </w:r>
          </w:p>
          <w:p w:rsidR="008F6C17" w:rsidRDefault="007836DD" w:rsidP="003E6C78">
            <w:pPr>
              <w:pStyle w:val="Header"/>
              <w:jc w:val="both"/>
            </w:pPr>
          </w:p>
          <w:p w:rsidR="007315C4" w:rsidRDefault="007836DD" w:rsidP="003E6C78">
            <w:pPr>
              <w:pStyle w:val="Header"/>
              <w:jc w:val="both"/>
            </w:pPr>
            <w:r>
              <w:t>C.S.</w:t>
            </w:r>
            <w:r>
              <w:t>H.B. 4153</w:t>
            </w:r>
            <w:r>
              <w:t xml:space="preserve"> requires the comptroller, not later than December 1, 2019, to provide notice to all persons entitled </w:t>
            </w:r>
            <w:r>
              <w:t xml:space="preserve">to compensation </w:t>
            </w:r>
            <w:r>
              <w:t xml:space="preserve">for wrongful imprisonment </w:t>
            </w:r>
            <w:r>
              <w:t xml:space="preserve">of </w:t>
            </w:r>
            <w:r>
              <w:t>the following</w:t>
            </w:r>
            <w:r>
              <w:t xml:space="preserve"> opportunities</w:t>
            </w:r>
            <w:r>
              <w:t>:</w:t>
            </w:r>
          </w:p>
          <w:p w:rsidR="007315C4" w:rsidRDefault="007836DD" w:rsidP="009A5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opportunity to elect to receive alternative annuity payments </w:t>
            </w:r>
            <w:r>
              <w:t xml:space="preserve">during the limited </w:t>
            </w:r>
            <w:r>
              <w:t xml:space="preserve">time </w:t>
            </w:r>
            <w:r>
              <w:t>period prescribed by the bill</w:t>
            </w:r>
            <w:r>
              <w:t xml:space="preserve">; </w:t>
            </w:r>
          </w:p>
          <w:p w:rsidR="007315C4" w:rsidRDefault="007836DD" w:rsidP="009A5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opportunity to </w:t>
            </w:r>
            <w:r>
              <w:t>elect to receive alternative annuity payme</w:t>
            </w:r>
            <w:r>
              <w:t xml:space="preserve">nts </w:t>
            </w:r>
            <w:r>
              <w:t>after a</w:t>
            </w:r>
            <w:r>
              <w:t>n applicable</w:t>
            </w:r>
            <w:r>
              <w:t xml:space="preserve"> life</w:t>
            </w:r>
            <w:r>
              <w:noBreakHyphen/>
            </w:r>
            <w:r>
              <w:t>changing event;</w:t>
            </w:r>
            <w:r>
              <w:t xml:space="preserve"> and </w:t>
            </w:r>
          </w:p>
          <w:p w:rsidR="007315C4" w:rsidRDefault="007836DD" w:rsidP="009A5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opportunity to obtain group health benefit plan coverage for a spouse or dependent</w:t>
            </w:r>
            <w:r>
              <w:t xml:space="preserve">. </w:t>
            </w:r>
          </w:p>
          <w:p w:rsidR="00C734AA" w:rsidRDefault="007836DD" w:rsidP="003E6C78">
            <w:pPr>
              <w:pStyle w:val="Header"/>
              <w:jc w:val="both"/>
            </w:pPr>
            <w:r>
              <w:t xml:space="preserve">The bill requires the comptroller to provide </w:t>
            </w:r>
            <w:r>
              <w:t>the</w:t>
            </w:r>
            <w:r>
              <w:t xml:space="preserve"> notice by certified mail to a person's last known address and by pho</w:t>
            </w:r>
            <w:r>
              <w:t>ne call to the phone number that the comptroller has on file for the person.</w:t>
            </w:r>
          </w:p>
          <w:p w:rsidR="008423E4" w:rsidRPr="00835628" w:rsidRDefault="007836DD" w:rsidP="009A5AED">
            <w:pPr>
              <w:rPr>
                <w:b/>
              </w:rPr>
            </w:pPr>
          </w:p>
        </w:tc>
      </w:tr>
      <w:tr w:rsidR="00745F99" w:rsidTr="00100378">
        <w:tc>
          <w:tcPr>
            <w:tcW w:w="9576" w:type="dxa"/>
          </w:tcPr>
          <w:p w:rsidR="008423E4" w:rsidRPr="00A8133F" w:rsidRDefault="007836DD" w:rsidP="009A5A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836DD" w:rsidP="009A5AED"/>
          <w:p w:rsidR="008423E4" w:rsidRPr="003624F2" w:rsidRDefault="007836DD" w:rsidP="009A5A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836DD" w:rsidP="009A5AED">
            <w:pPr>
              <w:rPr>
                <w:b/>
              </w:rPr>
            </w:pPr>
          </w:p>
        </w:tc>
      </w:tr>
      <w:tr w:rsidR="00745F99" w:rsidTr="00100378">
        <w:tc>
          <w:tcPr>
            <w:tcW w:w="9576" w:type="dxa"/>
          </w:tcPr>
          <w:p w:rsidR="00F513D2" w:rsidRDefault="007836DD" w:rsidP="009A5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2640" w:rsidRDefault="007836DD" w:rsidP="009A5AED">
            <w:pPr>
              <w:jc w:val="both"/>
            </w:pPr>
          </w:p>
          <w:p w:rsidR="00B32640" w:rsidRDefault="007836DD" w:rsidP="009A5AED">
            <w:pPr>
              <w:jc w:val="both"/>
            </w:pPr>
            <w:r>
              <w:t xml:space="preserve">While C.S.H.B. 4153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B32640" w:rsidRDefault="007836DD" w:rsidP="009A5AED">
            <w:pPr>
              <w:jc w:val="both"/>
            </w:pPr>
          </w:p>
          <w:p w:rsidR="00B32640" w:rsidRDefault="007836DD" w:rsidP="009A5AED">
            <w:pPr>
              <w:jc w:val="both"/>
            </w:pPr>
            <w:r>
              <w:t xml:space="preserve">The substitute </w:t>
            </w:r>
            <w:r>
              <w:t>authorizes</w:t>
            </w:r>
            <w:r>
              <w:t xml:space="preserve"> the</w:t>
            </w:r>
            <w:r>
              <w:t xml:space="preserve"> spouse and dependents of a person entitled to compensation for wrongful imprisonment to </w:t>
            </w:r>
            <w:r>
              <w:t>be included in</w:t>
            </w:r>
            <w:r>
              <w:t xml:space="preserve"> the person's </w:t>
            </w:r>
            <w:r>
              <w:t>group health benefit plan</w:t>
            </w:r>
            <w:r>
              <w:t xml:space="preserve"> coverage</w:t>
            </w:r>
            <w:r>
              <w:t xml:space="preserve"> and </w:t>
            </w:r>
            <w:r>
              <w:t>provides</w:t>
            </w:r>
            <w:r>
              <w:t xml:space="preserve"> for </w:t>
            </w:r>
            <w:r>
              <w:t xml:space="preserve">a person already receiving such coverage to </w:t>
            </w:r>
            <w:r>
              <w:t xml:space="preserve">elect to include </w:t>
            </w:r>
            <w:r>
              <w:t xml:space="preserve">their </w:t>
            </w:r>
            <w:r>
              <w:t xml:space="preserve">spouse </w:t>
            </w:r>
            <w:r>
              <w:t xml:space="preserve">and </w:t>
            </w:r>
            <w:r>
              <w:t xml:space="preserve">dependents in </w:t>
            </w:r>
            <w:r>
              <w:t>their</w:t>
            </w:r>
            <w:r>
              <w:t xml:space="preserve"> coverage. </w:t>
            </w:r>
          </w:p>
          <w:p w:rsidR="009F0C55" w:rsidRDefault="007836DD" w:rsidP="009A5AED">
            <w:pPr>
              <w:jc w:val="both"/>
            </w:pPr>
          </w:p>
          <w:p w:rsidR="009F0C55" w:rsidRDefault="007836DD" w:rsidP="009A5AED">
            <w:pPr>
              <w:jc w:val="both"/>
            </w:pPr>
            <w:r>
              <w:t xml:space="preserve">The substitute </w:t>
            </w:r>
            <w:r>
              <w:t>requires</w:t>
            </w:r>
            <w:r>
              <w:t xml:space="preserve"> </w:t>
            </w:r>
            <w:r>
              <w:t>the comptroller to provide notice</w:t>
            </w:r>
            <w:r>
              <w:t xml:space="preserve"> </w:t>
            </w:r>
            <w:r>
              <w:t xml:space="preserve">to persons entitled to compensation </w:t>
            </w:r>
            <w:r>
              <w:t xml:space="preserve">for wrongful imprisonment </w:t>
            </w:r>
            <w:r>
              <w:t>of the opportunity to obtain coverage for a spouse or dependent</w:t>
            </w:r>
            <w:r>
              <w:t>.</w:t>
            </w:r>
          </w:p>
          <w:p w:rsidR="00B32640" w:rsidRPr="00B32640" w:rsidRDefault="007836DD" w:rsidP="009A5AED">
            <w:pPr>
              <w:jc w:val="both"/>
            </w:pPr>
          </w:p>
        </w:tc>
      </w:tr>
      <w:tr w:rsidR="00745F99" w:rsidTr="00100378">
        <w:tc>
          <w:tcPr>
            <w:tcW w:w="9576" w:type="dxa"/>
          </w:tcPr>
          <w:p w:rsidR="00F513D2" w:rsidRPr="009C1E9A" w:rsidRDefault="007836DD" w:rsidP="009A5AED">
            <w:pPr>
              <w:rPr>
                <w:b/>
                <w:u w:val="single"/>
              </w:rPr>
            </w:pPr>
          </w:p>
        </w:tc>
      </w:tr>
      <w:tr w:rsidR="00745F99" w:rsidTr="00100378">
        <w:tc>
          <w:tcPr>
            <w:tcW w:w="9576" w:type="dxa"/>
          </w:tcPr>
          <w:p w:rsidR="00F513D2" w:rsidRPr="00F513D2" w:rsidRDefault="007836DD" w:rsidP="009A5AED">
            <w:pPr>
              <w:jc w:val="both"/>
            </w:pPr>
          </w:p>
        </w:tc>
      </w:tr>
    </w:tbl>
    <w:p w:rsidR="008423E4" w:rsidRPr="00BE0E75" w:rsidRDefault="007836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36D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6DD">
      <w:r>
        <w:separator/>
      </w:r>
    </w:p>
  </w:endnote>
  <w:endnote w:type="continuationSeparator" w:id="0">
    <w:p w:rsidR="00000000" w:rsidRDefault="007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78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5F99" w:rsidTr="009C1E9A">
      <w:trPr>
        <w:cantSplit/>
      </w:trPr>
      <w:tc>
        <w:tcPr>
          <w:tcW w:w="0" w:type="pct"/>
        </w:tcPr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5F99" w:rsidTr="009C1E9A">
      <w:trPr>
        <w:cantSplit/>
      </w:trPr>
      <w:tc>
        <w:tcPr>
          <w:tcW w:w="0" w:type="pct"/>
        </w:tcPr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03FCF" w:rsidRPr="009C1E9A" w:rsidRDefault="007836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27672</w:t>
          </w:r>
        </w:p>
      </w:tc>
      <w:tc>
        <w:tcPr>
          <w:tcW w:w="2453" w:type="pct"/>
        </w:tcPr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19.106.870</w:t>
          </w:r>
          <w:r>
            <w:fldChar w:fldCharType="end"/>
          </w:r>
        </w:p>
      </w:tc>
    </w:tr>
    <w:tr w:rsidR="00745F99" w:rsidTr="009C1E9A">
      <w:trPr>
        <w:cantSplit/>
      </w:trPr>
      <w:tc>
        <w:tcPr>
          <w:tcW w:w="0" w:type="pct"/>
        </w:tcPr>
        <w:p w:rsidR="00403FCF" w:rsidRDefault="007836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03FCF" w:rsidRPr="009C1E9A" w:rsidRDefault="007836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20738</w:t>
          </w:r>
        </w:p>
      </w:tc>
      <w:tc>
        <w:tcPr>
          <w:tcW w:w="2453" w:type="pct"/>
        </w:tcPr>
        <w:p w:rsidR="00403FCF" w:rsidRDefault="007836DD" w:rsidP="006D504F">
          <w:pPr>
            <w:pStyle w:val="Footer"/>
            <w:rPr>
              <w:rStyle w:val="PageNumber"/>
            </w:rPr>
          </w:pPr>
        </w:p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5F99" w:rsidTr="009C1E9A">
      <w:trPr>
        <w:cantSplit/>
        <w:trHeight w:val="323"/>
      </w:trPr>
      <w:tc>
        <w:tcPr>
          <w:tcW w:w="0" w:type="pct"/>
          <w:gridSpan w:val="3"/>
        </w:tcPr>
        <w:p w:rsidR="00403FCF" w:rsidRDefault="007836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403FCF" w:rsidRDefault="007836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03FCF" w:rsidRPr="00FF6F72" w:rsidRDefault="007836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78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36DD">
      <w:r>
        <w:separator/>
      </w:r>
    </w:p>
  </w:footnote>
  <w:footnote w:type="continuationSeparator" w:id="0">
    <w:p w:rsidR="00000000" w:rsidRDefault="0078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78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78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78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7BA"/>
    <w:multiLevelType w:val="hybridMultilevel"/>
    <w:tmpl w:val="500EBD44"/>
    <w:lvl w:ilvl="0" w:tplc="8A206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00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4E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8C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A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EC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C8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68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294E"/>
    <w:multiLevelType w:val="hybridMultilevel"/>
    <w:tmpl w:val="D150A614"/>
    <w:lvl w:ilvl="0" w:tplc="4B6853A8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E014DB06" w:tentative="1">
      <w:start w:val="1"/>
      <w:numFmt w:val="lowerLetter"/>
      <w:lvlText w:val="%2."/>
      <w:lvlJc w:val="left"/>
      <w:pPr>
        <w:ind w:left="1440" w:hanging="360"/>
      </w:pPr>
    </w:lvl>
    <w:lvl w:ilvl="2" w:tplc="147C5400" w:tentative="1">
      <w:start w:val="1"/>
      <w:numFmt w:val="lowerRoman"/>
      <w:lvlText w:val="%3."/>
      <w:lvlJc w:val="right"/>
      <w:pPr>
        <w:ind w:left="2160" w:hanging="180"/>
      </w:pPr>
    </w:lvl>
    <w:lvl w:ilvl="3" w:tplc="1EB4213C" w:tentative="1">
      <w:start w:val="1"/>
      <w:numFmt w:val="decimal"/>
      <w:lvlText w:val="%4."/>
      <w:lvlJc w:val="left"/>
      <w:pPr>
        <w:ind w:left="2880" w:hanging="360"/>
      </w:pPr>
    </w:lvl>
    <w:lvl w:ilvl="4" w:tplc="4A5E5DBA" w:tentative="1">
      <w:start w:val="1"/>
      <w:numFmt w:val="lowerLetter"/>
      <w:lvlText w:val="%5."/>
      <w:lvlJc w:val="left"/>
      <w:pPr>
        <w:ind w:left="3600" w:hanging="360"/>
      </w:pPr>
    </w:lvl>
    <w:lvl w:ilvl="5" w:tplc="38D0169C" w:tentative="1">
      <w:start w:val="1"/>
      <w:numFmt w:val="lowerRoman"/>
      <w:lvlText w:val="%6."/>
      <w:lvlJc w:val="right"/>
      <w:pPr>
        <w:ind w:left="4320" w:hanging="180"/>
      </w:pPr>
    </w:lvl>
    <w:lvl w:ilvl="6" w:tplc="9D707AFC" w:tentative="1">
      <w:start w:val="1"/>
      <w:numFmt w:val="decimal"/>
      <w:lvlText w:val="%7."/>
      <w:lvlJc w:val="left"/>
      <w:pPr>
        <w:ind w:left="5040" w:hanging="360"/>
      </w:pPr>
    </w:lvl>
    <w:lvl w:ilvl="7" w:tplc="8688B79A" w:tentative="1">
      <w:start w:val="1"/>
      <w:numFmt w:val="lowerLetter"/>
      <w:lvlText w:val="%8."/>
      <w:lvlJc w:val="left"/>
      <w:pPr>
        <w:ind w:left="5760" w:hanging="360"/>
      </w:pPr>
    </w:lvl>
    <w:lvl w:ilvl="8" w:tplc="05D63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06EF"/>
    <w:multiLevelType w:val="hybridMultilevel"/>
    <w:tmpl w:val="61EE666E"/>
    <w:lvl w:ilvl="0" w:tplc="5BC4E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C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84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F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4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80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E6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745F99"/>
    <w:rsid w:val="007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6FA60-47BC-4256-BD32-3608384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7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4015</Characters>
  <Application>Microsoft Office Word</Application>
  <DocSecurity>4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HB04153 (Committee Report (Substituted))</vt:lpstr>
    </vt:vector>
  </TitlesOfParts>
  <Company>State of Texas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27672</dc:subject>
  <dc:creator>State of Texas</dc:creator>
  <cp:lastModifiedBy>Stacey Nicchio</cp:lastModifiedBy>
  <cp:revision>2</cp:revision>
  <cp:lastPrinted>2003-11-26T17:21:00Z</cp:lastPrinted>
  <dcterms:created xsi:type="dcterms:W3CDTF">2019-04-18T21:08:00Z</dcterms:created>
  <dcterms:modified xsi:type="dcterms:W3CDTF">2019-04-18T21:08:00Z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19.106.870</vt:lpwstr>
  </property>
</Properties>
</file>