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83E03" w:rsidTr="00345119">
        <w:tc>
          <w:tcPr>
            <w:tcW w:w="9576" w:type="dxa"/>
            <w:noWrap/>
          </w:tcPr>
          <w:p w:rsidR="008423E4" w:rsidRPr="0022177D" w:rsidRDefault="000F0DF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F0DF3" w:rsidP="008423E4">
      <w:pPr>
        <w:jc w:val="center"/>
      </w:pPr>
    </w:p>
    <w:p w:rsidR="008423E4" w:rsidRPr="00B31F0E" w:rsidRDefault="000F0DF3" w:rsidP="008423E4"/>
    <w:p w:rsidR="008423E4" w:rsidRPr="00742794" w:rsidRDefault="000F0DF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83E03" w:rsidTr="00345119">
        <w:tc>
          <w:tcPr>
            <w:tcW w:w="9576" w:type="dxa"/>
          </w:tcPr>
          <w:p w:rsidR="008423E4" w:rsidRPr="00861995" w:rsidRDefault="000F0DF3" w:rsidP="00345119">
            <w:pPr>
              <w:jc w:val="right"/>
            </w:pPr>
            <w:r>
              <w:t>H.B. 4163</w:t>
            </w:r>
          </w:p>
        </w:tc>
      </w:tr>
      <w:tr w:rsidR="00A83E03" w:rsidTr="00345119">
        <w:tc>
          <w:tcPr>
            <w:tcW w:w="9576" w:type="dxa"/>
          </w:tcPr>
          <w:p w:rsidR="008423E4" w:rsidRPr="00861995" w:rsidRDefault="000F0DF3" w:rsidP="00AD5E5E">
            <w:pPr>
              <w:jc w:val="right"/>
            </w:pPr>
            <w:r>
              <w:t xml:space="preserve">By: </w:t>
            </w:r>
            <w:r>
              <w:t>Thompson, Senfronia</w:t>
            </w:r>
          </w:p>
        </w:tc>
      </w:tr>
      <w:tr w:rsidR="00A83E03" w:rsidTr="00345119">
        <w:tc>
          <w:tcPr>
            <w:tcW w:w="9576" w:type="dxa"/>
          </w:tcPr>
          <w:p w:rsidR="008423E4" w:rsidRPr="00861995" w:rsidRDefault="000F0DF3" w:rsidP="00345119">
            <w:pPr>
              <w:jc w:val="right"/>
            </w:pPr>
            <w:r>
              <w:t>Corrections</w:t>
            </w:r>
          </w:p>
        </w:tc>
      </w:tr>
      <w:tr w:rsidR="00A83E03" w:rsidTr="00345119">
        <w:tc>
          <w:tcPr>
            <w:tcW w:w="9576" w:type="dxa"/>
          </w:tcPr>
          <w:p w:rsidR="008423E4" w:rsidRDefault="000F0DF3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0F0DF3" w:rsidP="008423E4">
      <w:pPr>
        <w:tabs>
          <w:tab w:val="right" w:pos="9360"/>
        </w:tabs>
      </w:pPr>
    </w:p>
    <w:p w:rsidR="008423E4" w:rsidRDefault="000F0DF3" w:rsidP="008423E4"/>
    <w:p w:rsidR="008423E4" w:rsidRDefault="000F0DF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83E03" w:rsidTr="00345119">
        <w:tc>
          <w:tcPr>
            <w:tcW w:w="9576" w:type="dxa"/>
          </w:tcPr>
          <w:p w:rsidR="008423E4" w:rsidRPr="00A8133F" w:rsidRDefault="000F0DF3" w:rsidP="007A133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F0DF3" w:rsidP="007A1330"/>
          <w:p w:rsidR="008423E4" w:rsidRDefault="000F0DF3" w:rsidP="007A13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Texas law allows judicial clemency for certain person</w:t>
            </w:r>
            <w:r>
              <w:t>s</w:t>
            </w:r>
            <w:r>
              <w:t xml:space="preserve"> placed on probation. </w:t>
            </w:r>
            <w:r>
              <w:t xml:space="preserve">There have been calls to allow </w:t>
            </w:r>
            <w:r>
              <w:t xml:space="preserve">judicial clemency for </w:t>
            </w:r>
            <w:r>
              <w:t xml:space="preserve">certain parolees. H.B. 4163 seeks to allow </w:t>
            </w:r>
            <w:r>
              <w:t xml:space="preserve">for </w:t>
            </w:r>
            <w:r>
              <w:t>a judicial procedure for commuting the sentence</w:t>
            </w:r>
            <w:r>
              <w:t>s</w:t>
            </w:r>
            <w:r>
              <w:t xml:space="preserve"> of </w:t>
            </w:r>
            <w:r>
              <w:t>certain parolees.</w:t>
            </w:r>
          </w:p>
          <w:p w:rsidR="008423E4" w:rsidRPr="00E26B13" w:rsidRDefault="000F0DF3" w:rsidP="007A1330">
            <w:pPr>
              <w:rPr>
                <w:b/>
              </w:rPr>
            </w:pPr>
          </w:p>
        </w:tc>
      </w:tr>
      <w:tr w:rsidR="00A83E03" w:rsidTr="00345119">
        <w:tc>
          <w:tcPr>
            <w:tcW w:w="9576" w:type="dxa"/>
          </w:tcPr>
          <w:p w:rsidR="0017725B" w:rsidRDefault="000F0DF3" w:rsidP="007A13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F0DF3" w:rsidP="007A1330">
            <w:pPr>
              <w:rPr>
                <w:b/>
                <w:u w:val="single"/>
              </w:rPr>
            </w:pPr>
          </w:p>
          <w:p w:rsidR="004C072F" w:rsidRPr="004C072F" w:rsidRDefault="000F0DF3" w:rsidP="007A1330">
            <w:pPr>
              <w:jc w:val="both"/>
            </w:pPr>
            <w:r>
              <w:t>It is the committee's opinion that this bill does not expressly create a criminal offense, increase the punishme</w:t>
            </w:r>
            <w:r>
              <w:t>nt for an existing criminal offense or category of offenses, or change the eligibility of a person for community supervision, parole, or mandatory supervision.</w:t>
            </w:r>
          </w:p>
          <w:p w:rsidR="0017725B" w:rsidRPr="0017725B" w:rsidRDefault="000F0DF3" w:rsidP="007A1330">
            <w:pPr>
              <w:rPr>
                <w:b/>
                <w:u w:val="single"/>
              </w:rPr>
            </w:pPr>
          </w:p>
        </w:tc>
      </w:tr>
      <w:tr w:rsidR="00A83E03" w:rsidTr="00345119">
        <w:tc>
          <w:tcPr>
            <w:tcW w:w="9576" w:type="dxa"/>
          </w:tcPr>
          <w:p w:rsidR="008423E4" w:rsidRPr="00A8133F" w:rsidRDefault="000F0DF3" w:rsidP="007A133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F0DF3" w:rsidP="007A1330"/>
          <w:p w:rsidR="004C072F" w:rsidRDefault="000F0DF3" w:rsidP="007A13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</w:t>
            </w:r>
            <w:r>
              <w:t>ny additional rulemaking authority to a state officer, department, agency, or institution.</w:t>
            </w:r>
          </w:p>
          <w:p w:rsidR="008423E4" w:rsidRPr="00E21FDC" w:rsidRDefault="000F0DF3" w:rsidP="007A1330">
            <w:pPr>
              <w:rPr>
                <w:b/>
              </w:rPr>
            </w:pPr>
          </w:p>
        </w:tc>
      </w:tr>
      <w:tr w:rsidR="00A83E03" w:rsidTr="00345119">
        <w:tc>
          <w:tcPr>
            <w:tcW w:w="9576" w:type="dxa"/>
          </w:tcPr>
          <w:p w:rsidR="008423E4" w:rsidRPr="00A8133F" w:rsidRDefault="000F0DF3" w:rsidP="007A133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F0DF3" w:rsidP="007A1330"/>
          <w:p w:rsidR="00B865A5" w:rsidRDefault="000F0DF3" w:rsidP="007A1330">
            <w:pPr>
              <w:pStyle w:val="Header"/>
              <w:jc w:val="both"/>
            </w:pPr>
            <w:r>
              <w:t xml:space="preserve">H.B. 4163 amends the </w:t>
            </w:r>
            <w:r w:rsidRPr="004C072F">
              <w:t>Code of Criminal Procedure</w:t>
            </w:r>
            <w:r>
              <w:t xml:space="preserve"> to authorize a </w:t>
            </w:r>
            <w:r w:rsidRPr="004C072F">
              <w:t>person released on parole</w:t>
            </w:r>
            <w:r>
              <w:t xml:space="preserve"> </w:t>
            </w:r>
            <w:r>
              <w:t xml:space="preserve">to file a motion with the court in which the person was convicted requesting that the court commute the person's sentence </w:t>
            </w:r>
            <w:r>
              <w:t xml:space="preserve">if </w:t>
            </w:r>
            <w:r>
              <w:t>the person</w:t>
            </w:r>
            <w:r>
              <w:t>:</w:t>
            </w:r>
          </w:p>
          <w:p w:rsidR="001B3D5B" w:rsidRDefault="000F0DF3" w:rsidP="007A1330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was released on parole not less than 10 years before the date the motion is filed and the release was not revoked at an</w:t>
            </w:r>
            <w:r>
              <w:t xml:space="preserve">y time during that period; and </w:t>
            </w:r>
          </w:p>
          <w:p w:rsidR="001B3D5B" w:rsidRDefault="000F0DF3" w:rsidP="007A1330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is not required to register as a sex offender</w:t>
            </w:r>
            <w:r>
              <w:t xml:space="preserve"> under statutory provisions relating to the sex offender registration program</w:t>
            </w:r>
            <w:r>
              <w:t xml:space="preserve">. </w:t>
            </w:r>
          </w:p>
          <w:p w:rsidR="008423E4" w:rsidRDefault="000F0DF3" w:rsidP="007A1330">
            <w:pPr>
              <w:pStyle w:val="Header"/>
              <w:jc w:val="both"/>
            </w:pPr>
            <w:r>
              <w:t xml:space="preserve">The </w:t>
            </w:r>
            <w:r>
              <w:t xml:space="preserve">bill establishes that the </w:t>
            </w:r>
            <w:r>
              <w:t xml:space="preserve">person </w:t>
            </w:r>
            <w:r>
              <w:t xml:space="preserve">must </w:t>
            </w:r>
            <w:r w:rsidRPr="0088484F">
              <w:t>submit with the motion information relevant to the person</w:t>
            </w:r>
            <w:r w:rsidRPr="0088484F">
              <w:t>'s rehabilitation</w:t>
            </w:r>
            <w:r>
              <w:t>, including information specified by the bill</w:t>
            </w:r>
            <w:r>
              <w:t xml:space="preserve">. </w:t>
            </w:r>
          </w:p>
          <w:p w:rsidR="009500E1" w:rsidRDefault="000F0DF3" w:rsidP="007A1330">
            <w:pPr>
              <w:pStyle w:val="Header"/>
              <w:jc w:val="both"/>
            </w:pPr>
          </w:p>
          <w:p w:rsidR="00CC532B" w:rsidRDefault="000F0DF3" w:rsidP="007A1330">
            <w:pPr>
              <w:pStyle w:val="Header"/>
              <w:jc w:val="both"/>
            </w:pPr>
            <w:r>
              <w:t>H.B. 4163</w:t>
            </w:r>
            <w:r>
              <w:t>,</w:t>
            </w:r>
            <w:r>
              <w:t xml:space="preserve"> </w:t>
            </w:r>
            <w:r>
              <w:t>with regard to the motion</w:t>
            </w:r>
            <w:r>
              <w:t>:</w:t>
            </w:r>
          </w:p>
          <w:p w:rsidR="00324619" w:rsidRDefault="000F0DF3" w:rsidP="007A1330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requires the court, on receipt of </w:t>
            </w:r>
            <w:r>
              <w:t xml:space="preserve">such </w:t>
            </w:r>
            <w:r>
              <w:t>a motion, to notify the attorney representing the state in the jurisdiction in which the person was convicted and</w:t>
            </w:r>
            <w:r>
              <w:t xml:space="preserve"> to request from the Texas Department of Criminal Justice (TDCJ) information related to the conduct of the person while on parole;</w:t>
            </w:r>
          </w:p>
          <w:p w:rsidR="00324619" w:rsidRDefault="000F0DF3" w:rsidP="007A1330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authorizes the attorney representing the state to </w:t>
            </w:r>
            <w:r w:rsidRPr="009500E1">
              <w:t>submit to the court any relevant information</w:t>
            </w:r>
            <w:r>
              <w:t>;</w:t>
            </w:r>
          </w:p>
          <w:p w:rsidR="00CC532B" w:rsidRDefault="000F0DF3" w:rsidP="007A1330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authorizes </w:t>
            </w:r>
            <w:r>
              <w:t>the</w:t>
            </w:r>
            <w:r>
              <w:t xml:space="preserve"> </w:t>
            </w:r>
            <w:r>
              <w:t xml:space="preserve">court to </w:t>
            </w:r>
            <w:r w:rsidRPr="009500E1">
              <w:t xml:space="preserve">hold </w:t>
            </w:r>
            <w:r w:rsidRPr="009500E1">
              <w:t>a hearin</w:t>
            </w:r>
            <w:r>
              <w:t>g to consider the motion and to</w:t>
            </w:r>
            <w:r w:rsidRPr="009500E1">
              <w:t xml:space="preserve"> take testimony from any person having relevant information</w:t>
            </w:r>
            <w:r>
              <w:t>;</w:t>
            </w:r>
          </w:p>
          <w:p w:rsidR="00CC532B" w:rsidRDefault="000F0DF3" w:rsidP="007A1330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requires </w:t>
            </w:r>
            <w:r>
              <w:t>the</w:t>
            </w:r>
            <w:r>
              <w:t xml:space="preserve"> </w:t>
            </w:r>
            <w:r>
              <w:t>court</w:t>
            </w:r>
            <w:r>
              <w:t xml:space="preserve"> </w:t>
            </w:r>
            <w:r>
              <w:t xml:space="preserve">to </w:t>
            </w:r>
            <w:r w:rsidRPr="008D695D">
              <w:t>provide notice of the hearing to the attorney representing the state</w:t>
            </w:r>
            <w:r>
              <w:t xml:space="preserve"> and</w:t>
            </w:r>
            <w:r w:rsidRPr="00902E15">
              <w:t xml:space="preserve"> allow the attorney</w:t>
            </w:r>
            <w:r w:rsidRPr="008D695D">
              <w:t xml:space="preserve"> to participate in the hearing</w:t>
            </w:r>
            <w:r>
              <w:t>;</w:t>
            </w:r>
          </w:p>
          <w:p w:rsidR="00324619" w:rsidRDefault="000F0DF3" w:rsidP="007A1330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requires </w:t>
            </w:r>
            <w:r>
              <w:t xml:space="preserve">a </w:t>
            </w:r>
            <w:r>
              <w:t xml:space="preserve">court, not later than the 180th day after the date a motion is filed, to </w:t>
            </w:r>
            <w:r w:rsidRPr="008D695D">
              <w:t>review the motion, the information obtained</w:t>
            </w:r>
            <w:r>
              <w:t xml:space="preserve"> from TDCJ</w:t>
            </w:r>
            <w:r w:rsidRPr="008D695D">
              <w:t xml:space="preserve"> or provided by the attorney representing the state, and any testimony presented at the hearing, if applicable, </w:t>
            </w:r>
            <w:r>
              <w:t>to</w:t>
            </w:r>
            <w:r>
              <w:t xml:space="preserve"> </w:t>
            </w:r>
            <w:r w:rsidRPr="008D695D">
              <w:t>determin</w:t>
            </w:r>
            <w:r>
              <w:t>e</w:t>
            </w:r>
            <w:r w:rsidRPr="008D695D">
              <w:t xml:space="preserve"> wheth</w:t>
            </w:r>
            <w:r w:rsidRPr="008D695D">
              <w:t>er the person who filed the motion meets the eligibility requirements</w:t>
            </w:r>
            <w:r>
              <w:t>; and</w:t>
            </w:r>
          </w:p>
          <w:p w:rsidR="00CC532B" w:rsidRDefault="000F0DF3" w:rsidP="007A1330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requires the court to </w:t>
            </w:r>
            <w:r w:rsidRPr="00D84C8B">
              <w:t xml:space="preserve">issue </w:t>
            </w:r>
            <w:r>
              <w:t>an</w:t>
            </w:r>
            <w:r>
              <w:t xml:space="preserve"> </w:t>
            </w:r>
            <w:r w:rsidRPr="00D84C8B">
              <w:t>order</w:t>
            </w:r>
            <w:r>
              <w:t xml:space="preserve"> commuting the </w:t>
            </w:r>
            <w:r>
              <w:t xml:space="preserve">person's </w:t>
            </w:r>
            <w:r>
              <w:t>sentence</w:t>
            </w:r>
            <w:r>
              <w:t xml:space="preserve">, if the person is eligible and the court determines that </w:t>
            </w:r>
            <w:r>
              <w:t xml:space="preserve">such </w:t>
            </w:r>
            <w:r>
              <w:t>an order is in the best interest of justice, the p</w:t>
            </w:r>
            <w:r>
              <w:t>ublic, and the person</w:t>
            </w:r>
            <w:r>
              <w:t>.</w:t>
            </w:r>
            <w:r>
              <w:t xml:space="preserve"> </w:t>
            </w:r>
          </w:p>
          <w:p w:rsidR="009500E1" w:rsidRDefault="000F0DF3" w:rsidP="007A1330">
            <w:pPr>
              <w:pStyle w:val="Header"/>
              <w:jc w:val="both"/>
            </w:pPr>
            <w:r>
              <w:t xml:space="preserve">The bill </w:t>
            </w:r>
            <w:r>
              <w:t xml:space="preserve">expressly </w:t>
            </w:r>
            <w:r>
              <w:t>limits the a</w:t>
            </w:r>
            <w:r>
              <w:t>uthority of a court to commut</w:t>
            </w:r>
            <w:r>
              <w:t>ing</w:t>
            </w:r>
            <w:r>
              <w:t xml:space="preserve"> the person's sentence to reflect </w:t>
            </w:r>
            <w:r w:rsidRPr="000E4C6A">
              <w:t>the time served by the person while confined or released on parole as of the date the order is issued.</w:t>
            </w:r>
            <w:r>
              <w:t xml:space="preserve"> </w:t>
            </w:r>
            <w:r>
              <w:t xml:space="preserve">The bill prohibits the court, in commuting the sentence, from imposing </w:t>
            </w:r>
            <w:r w:rsidRPr="00F96951">
              <w:t>conditions on the issuance of the order or otherwise related to the person's release.</w:t>
            </w:r>
            <w:r>
              <w:t xml:space="preserve"> The bill establishes that a </w:t>
            </w:r>
            <w:r w:rsidRPr="00F96951">
              <w:t xml:space="preserve">person who receives </w:t>
            </w:r>
            <w:r>
              <w:t xml:space="preserve">such </w:t>
            </w:r>
            <w:r w:rsidRPr="00F96951">
              <w:t xml:space="preserve">an order of commutation is considered to have </w:t>
            </w:r>
            <w:r w:rsidRPr="00F96951">
              <w:t>fully discharged the person's sentence.</w:t>
            </w:r>
          </w:p>
          <w:p w:rsidR="00F96951" w:rsidRDefault="000F0DF3" w:rsidP="007A1330">
            <w:pPr>
              <w:pStyle w:val="Header"/>
              <w:jc w:val="both"/>
            </w:pPr>
          </w:p>
          <w:p w:rsidR="00F96951" w:rsidRDefault="000F0DF3" w:rsidP="007A1330">
            <w:pPr>
              <w:pStyle w:val="Header"/>
              <w:jc w:val="both"/>
            </w:pPr>
            <w:r>
              <w:t>H.B. 4163 amends the Government Code to</w:t>
            </w:r>
            <w:r>
              <w:t xml:space="preserve"> make a conforming change</w:t>
            </w:r>
            <w:r>
              <w:t xml:space="preserve">.   </w:t>
            </w:r>
          </w:p>
          <w:p w:rsidR="008423E4" w:rsidRPr="00835628" w:rsidRDefault="000F0DF3" w:rsidP="007A1330">
            <w:pPr>
              <w:rPr>
                <w:b/>
              </w:rPr>
            </w:pPr>
          </w:p>
        </w:tc>
      </w:tr>
      <w:tr w:rsidR="00A83E03" w:rsidTr="00345119">
        <w:tc>
          <w:tcPr>
            <w:tcW w:w="9576" w:type="dxa"/>
          </w:tcPr>
          <w:p w:rsidR="008423E4" w:rsidRPr="00A8133F" w:rsidRDefault="000F0DF3" w:rsidP="007A133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F0DF3" w:rsidP="007A1330"/>
          <w:p w:rsidR="008423E4" w:rsidRPr="004C072F" w:rsidRDefault="000F0DF3" w:rsidP="007A13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December 1, 2019, if the constitutional amendment </w:t>
            </w:r>
            <w:r w:rsidRPr="004C072F">
              <w:t xml:space="preserve">authorizing the legislature to enact laws providing for a court to grant a </w:t>
            </w:r>
            <w:r w:rsidRPr="004C072F">
              <w:t>commutation of punishment to a person who has successfully served the required number of years on parole</w:t>
            </w:r>
            <w:r>
              <w:t xml:space="preserve"> is approved by the voters.</w:t>
            </w:r>
          </w:p>
          <w:p w:rsidR="008423E4" w:rsidRPr="00233FDB" w:rsidRDefault="000F0DF3" w:rsidP="007A1330">
            <w:pPr>
              <w:rPr>
                <w:b/>
              </w:rPr>
            </w:pPr>
          </w:p>
        </w:tc>
      </w:tr>
    </w:tbl>
    <w:p w:rsidR="008423E4" w:rsidRPr="00BE0E75" w:rsidRDefault="000F0DF3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F0DF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0DF3">
      <w:r>
        <w:separator/>
      </w:r>
    </w:p>
  </w:endnote>
  <w:endnote w:type="continuationSeparator" w:id="0">
    <w:p w:rsidR="00000000" w:rsidRDefault="000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F0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83E03" w:rsidTr="009C1E9A">
      <w:trPr>
        <w:cantSplit/>
      </w:trPr>
      <w:tc>
        <w:tcPr>
          <w:tcW w:w="0" w:type="pct"/>
        </w:tcPr>
        <w:p w:rsidR="00137D90" w:rsidRDefault="000F0DF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F0DF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F0DF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F0DF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F0DF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3E03" w:rsidTr="009C1E9A">
      <w:trPr>
        <w:cantSplit/>
      </w:trPr>
      <w:tc>
        <w:tcPr>
          <w:tcW w:w="0" w:type="pct"/>
        </w:tcPr>
        <w:p w:rsidR="00EC379B" w:rsidRDefault="000F0DF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F0DF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27506</w:t>
          </w:r>
        </w:p>
      </w:tc>
      <w:tc>
        <w:tcPr>
          <w:tcW w:w="2453" w:type="pct"/>
        </w:tcPr>
        <w:p w:rsidR="00EC379B" w:rsidRDefault="000F0DF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19.106.1425</w:t>
          </w:r>
          <w:r>
            <w:fldChar w:fldCharType="end"/>
          </w:r>
        </w:p>
      </w:tc>
    </w:tr>
    <w:tr w:rsidR="00A83E03" w:rsidTr="009C1E9A">
      <w:trPr>
        <w:cantSplit/>
      </w:trPr>
      <w:tc>
        <w:tcPr>
          <w:tcW w:w="0" w:type="pct"/>
        </w:tcPr>
        <w:p w:rsidR="00EC379B" w:rsidRDefault="000F0DF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F0DF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F0DF3" w:rsidP="006D504F">
          <w:pPr>
            <w:pStyle w:val="Footer"/>
            <w:rPr>
              <w:rStyle w:val="PageNumber"/>
            </w:rPr>
          </w:pPr>
        </w:p>
        <w:p w:rsidR="00EC379B" w:rsidRDefault="000F0DF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3E0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F0DF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0F0DF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F0DF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F0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0DF3">
      <w:r>
        <w:separator/>
      </w:r>
    </w:p>
  </w:footnote>
  <w:footnote w:type="continuationSeparator" w:id="0">
    <w:p w:rsidR="00000000" w:rsidRDefault="000F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F0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F0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F0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9D3"/>
    <w:multiLevelType w:val="hybridMultilevel"/>
    <w:tmpl w:val="3E84DC4A"/>
    <w:lvl w:ilvl="0" w:tplc="3482A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4A2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41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0D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0B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00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27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A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7A9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2962"/>
    <w:multiLevelType w:val="hybridMultilevel"/>
    <w:tmpl w:val="7B32D496"/>
    <w:lvl w:ilvl="0" w:tplc="0A56C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07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80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67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2F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AE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2B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24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6F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03"/>
    <w:rsid w:val="000F0DF3"/>
    <w:rsid w:val="00A8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E7C56B-8F03-4528-9F26-644CDD7A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D1A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1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1A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1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3012</Characters>
  <Application>Microsoft Office Word</Application>
  <DocSecurity>4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HB04163 (Committee Report (Unamended))</vt:lpstr>
    </vt:vector>
  </TitlesOfParts>
  <Company>State of Texas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27506</dc:subject>
  <dc:creator>State of Texas</dc:creator>
  <dc:description>HB 4163 by Thompson, Senfronia-(H)Corrections</dc:description>
  <cp:lastModifiedBy>Laura Ramsay</cp:lastModifiedBy>
  <cp:revision>2</cp:revision>
  <cp:lastPrinted>2003-11-26T17:21:00Z</cp:lastPrinted>
  <dcterms:created xsi:type="dcterms:W3CDTF">2019-05-01T17:55:00Z</dcterms:created>
  <dcterms:modified xsi:type="dcterms:W3CDTF">2019-05-01T17:55:00Z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19.106.1425</vt:lpwstr>
  </property>
</Properties>
</file>