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4C63" w:rsidTr="00345119">
        <w:tc>
          <w:tcPr>
            <w:tcW w:w="9576" w:type="dxa"/>
            <w:noWrap/>
          </w:tcPr>
          <w:p w:rsidR="008423E4" w:rsidRPr="0022177D" w:rsidRDefault="007B47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B47BC" w:rsidP="008423E4">
      <w:pPr>
        <w:jc w:val="center"/>
      </w:pPr>
    </w:p>
    <w:p w:rsidR="008423E4" w:rsidRPr="00B31F0E" w:rsidRDefault="007B47BC" w:rsidP="008423E4"/>
    <w:p w:rsidR="008423E4" w:rsidRPr="00742794" w:rsidRDefault="007B47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4C63" w:rsidTr="00345119">
        <w:tc>
          <w:tcPr>
            <w:tcW w:w="9576" w:type="dxa"/>
          </w:tcPr>
          <w:p w:rsidR="008423E4" w:rsidRPr="00861995" w:rsidRDefault="007B47BC" w:rsidP="00345119">
            <w:pPr>
              <w:jc w:val="right"/>
            </w:pPr>
            <w:r>
              <w:t>H.B. 4173</w:t>
            </w:r>
          </w:p>
        </w:tc>
      </w:tr>
      <w:tr w:rsidR="00D84C63" w:rsidTr="00345119">
        <w:tc>
          <w:tcPr>
            <w:tcW w:w="9576" w:type="dxa"/>
          </w:tcPr>
          <w:p w:rsidR="008423E4" w:rsidRPr="00861995" w:rsidRDefault="007B47BC" w:rsidP="00A245C7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D84C63" w:rsidTr="00345119">
        <w:tc>
          <w:tcPr>
            <w:tcW w:w="9576" w:type="dxa"/>
          </w:tcPr>
          <w:p w:rsidR="008423E4" w:rsidRPr="00861995" w:rsidRDefault="007B47BC" w:rsidP="00345119">
            <w:pPr>
              <w:jc w:val="right"/>
            </w:pPr>
            <w:r>
              <w:t>Judiciary &amp; Civil Jurisprudence</w:t>
            </w:r>
          </w:p>
        </w:tc>
      </w:tr>
      <w:tr w:rsidR="00D84C63" w:rsidTr="00345119">
        <w:tc>
          <w:tcPr>
            <w:tcW w:w="9576" w:type="dxa"/>
          </w:tcPr>
          <w:p w:rsidR="008423E4" w:rsidRDefault="007B47B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B47BC" w:rsidP="008423E4">
      <w:pPr>
        <w:tabs>
          <w:tab w:val="right" w:pos="9360"/>
        </w:tabs>
      </w:pPr>
    </w:p>
    <w:p w:rsidR="008423E4" w:rsidRDefault="007B47BC" w:rsidP="008423E4"/>
    <w:p w:rsidR="008423E4" w:rsidRDefault="007B47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84C63" w:rsidTr="00345119">
        <w:tc>
          <w:tcPr>
            <w:tcW w:w="9576" w:type="dxa"/>
          </w:tcPr>
          <w:p w:rsidR="008423E4" w:rsidRPr="00A8133F" w:rsidRDefault="007B47BC" w:rsidP="006D4D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B47BC" w:rsidP="006D4DB5"/>
          <w:p w:rsidR="008423E4" w:rsidRDefault="007B47BC" w:rsidP="006D4D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E4CBA">
              <w:t xml:space="preserve">The Texas Legislative Council is required by law to carry out a nonsubstantive revision of the Texas statutes in an effort </w:t>
            </w:r>
            <w:r w:rsidRPr="005E4CBA">
              <w:t>to make the statutes more accessible, understandable, and usable without altering the sense, meaning, or effect of the law. H.B. 417</w:t>
            </w:r>
            <w:r>
              <w:t>3</w:t>
            </w:r>
            <w:r w:rsidRPr="005E4CBA">
              <w:t xml:space="preserve"> seeks to provide for the nonsubstantive revision of </w:t>
            </w:r>
            <w:r>
              <w:t>certain provisions of the Code of Criminal Procedure.</w:t>
            </w:r>
          </w:p>
          <w:p w:rsidR="008423E4" w:rsidRPr="00E26B13" w:rsidRDefault="007B47BC" w:rsidP="006D4DB5">
            <w:pPr>
              <w:rPr>
                <w:b/>
              </w:rPr>
            </w:pPr>
          </w:p>
        </w:tc>
      </w:tr>
      <w:tr w:rsidR="00D84C63" w:rsidTr="00345119">
        <w:tc>
          <w:tcPr>
            <w:tcW w:w="9576" w:type="dxa"/>
          </w:tcPr>
          <w:p w:rsidR="0017725B" w:rsidRDefault="007B47BC" w:rsidP="006D4D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</w:t>
            </w:r>
            <w:r>
              <w:rPr>
                <w:b/>
                <w:u w:val="single"/>
              </w:rPr>
              <w:t>CE IMPACT</w:t>
            </w:r>
          </w:p>
          <w:p w:rsidR="0017725B" w:rsidRDefault="007B47BC" w:rsidP="006D4DB5">
            <w:pPr>
              <w:rPr>
                <w:b/>
                <w:u w:val="single"/>
              </w:rPr>
            </w:pPr>
          </w:p>
          <w:p w:rsidR="00172A8D" w:rsidRPr="00172A8D" w:rsidRDefault="007B47BC" w:rsidP="006D4DB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</w:t>
            </w:r>
            <w:r>
              <w:t xml:space="preserve"> or mandatory supervision.</w:t>
            </w:r>
          </w:p>
          <w:p w:rsidR="0017725B" w:rsidRPr="0017725B" w:rsidRDefault="007B47BC" w:rsidP="006D4DB5">
            <w:pPr>
              <w:rPr>
                <w:b/>
                <w:u w:val="single"/>
              </w:rPr>
            </w:pPr>
          </w:p>
        </w:tc>
      </w:tr>
      <w:tr w:rsidR="00D84C63" w:rsidTr="00345119">
        <w:tc>
          <w:tcPr>
            <w:tcW w:w="9576" w:type="dxa"/>
          </w:tcPr>
          <w:p w:rsidR="008423E4" w:rsidRPr="00A8133F" w:rsidRDefault="007B47BC" w:rsidP="006D4D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B47BC" w:rsidP="006D4DB5"/>
          <w:p w:rsidR="00172A8D" w:rsidRDefault="007B47BC" w:rsidP="006D4D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B47BC" w:rsidP="006D4DB5">
            <w:pPr>
              <w:rPr>
                <w:b/>
              </w:rPr>
            </w:pPr>
          </w:p>
        </w:tc>
      </w:tr>
      <w:tr w:rsidR="00D84C63" w:rsidTr="00345119">
        <w:tc>
          <w:tcPr>
            <w:tcW w:w="9576" w:type="dxa"/>
          </w:tcPr>
          <w:p w:rsidR="008423E4" w:rsidRPr="00A8133F" w:rsidRDefault="007B47BC" w:rsidP="006D4D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B47BC" w:rsidP="006D4DB5"/>
          <w:p w:rsidR="008D7BC1" w:rsidRDefault="007B47BC" w:rsidP="006D4DB5">
            <w:pPr>
              <w:pStyle w:val="Header"/>
              <w:jc w:val="both"/>
            </w:pPr>
            <w:r>
              <w:t xml:space="preserve">H.B. 4173 </w:t>
            </w:r>
            <w:r>
              <w:t xml:space="preserve">provides for the </w:t>
            </w:r>
            <w:r w:rsidRPr="00A06A0F">
              <w:t>nonsubstantive revision of certain provisions of the Code of Criminal Procedure, including conforming amendments</w:t>
            </w:r>
            <w:r>
              <w:t xml:space="preserve"> to that and other codes, and </w:t>
            </w:r>
            <w:r>
              <w:t>is composed of four articles, which are detailed below.</w:t>
            </w:r>
          </w:p>
          <w:p w:rsidR="008D7BC1" w:rsidRDefault="007B47BC" w:rsidP="006D4DB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Article 1 amends the </w:t>
            </w:r>
            <w:r>
              <w:t>Code of Criminal Procedure</w:t>
            </w:r>
            <w:r>
              <w:t xml:space="preserve"> to </w:t>
            </w:r>
            <w:r>
              <w:t xml:space="preserve">set out certain general provisions for the code and to </w:t>
            </w:r>
            <w:r>
              <w:t>make nonsub</w:t>
            </w:r>
            <w:r>
              <w:t>s</w:t>
            </w:r>
            <w:r>
              <w:t>tantive revisions of Articles 6.08 and 6.09 and Chapters 7A, 19, 20, 54, 56, 57, 57A, 57B, 57C, and 57D, respectively</w:t>
            </w:r>
            <w:r>
              <w:t xml:space="preserve">, </w:t>
            </w:r>
            <w:r>
              <w:t xml:space="preserve">by </w:t>
            </w:r>
            <w:r>
              <w:t>establishing</w:t>
            </w:r>
            <w:r>
              <w:t xml:space="preserve"> the following new c</w:t>
            </w:r>
            <w:r>
              <w:t>hapters</w:t>
            </w:r>
            <w:r>
              <w:t>:</w:t>
            </w:r>
            <w:r>
              <w:t xml:space="preserve"> </w:t>
            </w:r>
          </w:p>
          <w:p w:rsidR="008D7BC1" w:rsidRDefault="007B47BC" w:rsidP="006D4DB5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 xml:space="preserve">Chapter </w:t>
            </w:r>
            <w:r>
              <w:t xml:space="preserve">7B, </w:t>
            </w:r>
            <w:r>
              <w:t>which governs</w:t>
            </w:r>
            <w:r>
              <w:t xml:space="preserve"> protective orders;</w:t>
            </w:r>
          </w:p>
          <w:p w:rsidR="008D7BC1" w:rsidRDefault="007B47BC" w:rsidP="006D4DB5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 xml:space="preserve">Chapter </w:t>
            </w:r>
            <w:r>
              <w:t xml:space="preserve">19A, </w:t>
            </w:r>
            <w:r>
              <w:t>which governs grand jury organization;</w:t>
            </w:r>
          </w:p>
          <w:p w:rsidR="008D7BC1" w:rsidRDefault="007B47BC" w:rsidP="006D4DB5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 xml:space="preserve">Chapter </w:t>
            </w:r>
            <w:r>
              <w:t xml:space="preserve">20A, </w:t>
            </w:r>
            <w:r>
              <w:t>which governs grand jury proceedings;</w:t>
            </w:r>
          </w:p>
          <w:p w:rsidR="008D7BC1" w:rsidRDefault="007B47BC" w:rsidP="006D4DB5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 xml:space="preserve">Chapter </w:t>
            </w:r>
            <w:r>
              <w:t xml:space="preserve">56A, </w:t>
            </w:r>
            <w:r>
              <w:t>which provides for the rights of crime victims;</w:t>
            </w:r>
          </w:p>
          <w:p w:rsidR="008D7BC1" w:rsidRDefault="007B47BC" w:rsidP="006D4DB5">
            <w:pPr>
              <w:pStyle w:val="Header"/>
              <w:numPr>
                <w:ilvl w:val="1"/>
                <w:numId w:val="2"/>
              </w:numPr>
              <w:spacing w:before="120" w:after="120"/>
              <w:jc w:val="both"/>
            </w:pPr>
            <w:r>
              <w:t xml:space="preserve">Chapter </w:t>
            </w:r>
            <w:r>
              <w:t xml:space="preserve">56B, </w:t>
            </w:r>
            <w:r>
              <w:t xml:space="preserve">which governs crime victims' compensation; </w:t>
            </w:r>
            <w:r>
              <w:t xml:space="preserve">and </w:t>
            </w:r>
          </w:p>
          <w:p w:rsidR="00172A8D" w:rsidRDefault="007B47BC" w:rsidP="006D4DB5">
            <w:pPr>
              <w:pStyle w:val="ListParagraph"/>
              <w:numPr>
                <w:ilvl w:val="1"/>
                <w:numId w:val="2"/>
              </w:numPr>
              <w:spacing w:before="120" w:after="120"/>
              <w:jc w:val="both"/>
            </w:pPr>
            <w:r>
              <w:t>Chapter 58,</w:t>
            </w:r>
            <w:r>
              <w:t xml:space="preserve"> which provides for the </w:t>
            </w:r>
            <w:r w:rsidRPr="008D7BC1">
              <w:t>confidentiality of identifying information and medical records of certain crime victims</w:t>
            </w:r>
            <w:r>
              <w:t xml:space="preserve">.  </w:t>
            </w:r>
          </w:p>
          <w:p w:rsidR="00172A8D" w:rsidRDefault="007B47BC" w:rsidP="006D4DB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Article 2 of the bill amends </w:t>
            </w:r>
            <w:r>
              <w:t>the following codes</w:t>
            </w:r>
            <w:r>
              <w:t xml:space="preserve"> to make conforming amendments</w:t>
            </w:r>
            <w:r>
              <w:t xml:space="preserve"> as necessary to continue other provisions of law without substantive change</w:t>
            </w:r>
            <w:r>
              <w:t>: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Business &amp; Commerce Code</w:t>
            </w:r>
            <w:r>
              <w:t>;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Civil Practice and Remedies Code</w:t>
            </w:r>
            <w:r>
              <w:t>;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Code of Criminal Procedure</w:t>
            </w:r>
            <w:r>
              <w:t>;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Education Code</w:t>
            </w:r>
            <w:r>
              <w:t>;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Election Code</w:t>
            </w:r>
            <w:r>
              <w:t>;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Family Code</w:t>
            </w:r>
            <w:r>
              <w:t>;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Government Code</w:t>
            </w:r>
            <w:r>
              <w:t>;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Health and Safety Code</w:t>
            </w:r>
            <w:r>
              <w:t>;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Human</w:t>
            </w:r>
            <w:r>
              <w:t xml:space="preserve"> Resources Code</w:t>
            </w:r>
            <w:r>
              <w:t>;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Occupations Code</w:t>
            </w:r>
            <w:r>
              <w:t>;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Penal Code</w:t>
            </w:r>
            <w:r>
              <w:t>;</w:t>
            </w:r>
          </w:p>
          <w:p w:rsidR="00224087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Property Code</w:t>
            </w:r>
            <w:r>
              <w:t>; and</w:t>
            </w:r>
            <w:r>
              <w:t xml:space="preserve"> </w:t>
            </w:r>
          </w:p>
          <w:p w:rsidR="00C77DAF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Tax Code</w:t>
            </w:r>
            <w:r>
              <w:t>.</w:t>
            </w:r>
          </w:p>
          <w:p w:rsidR="00172A8D" w:rsidRDefault="007B47BC" w:rsidP="006D4DB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Article 3 of the bill repeals the following provisions of the Code of Criminal Procedure: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Article 6.08</w:t>
            </w:r>
            <w:r>
              <w:t>;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Article 6.09</w:t>
            </w:r>
            <w:r>
              <w:t>;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Chapter 7A</w:t>
            </w:r>
            <w:r>
              <w:t>;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Chapter 19</w:t>
            </w:r>
            <w:r>
              <w:t>;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Chapter 20</w:t>
            </w:r>
            <w:r>
              <w:t>;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Chapter 54</w:t>
            </w:r>
            <w:r>
              <w:t>;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Chapter 56</w:t>
            </w:r>
            <w:r>
              <w:t>;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Chapter 57</w:t>
            </w:r>
            <w:r>
              <w:t>;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Chapter 57A</w:t>
            </w:r>
            <w:r>
              <w:t>;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Chapter 57B</w:t>
            </w:r>
            <w:r>
              <w:t>;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Chapter 57C</w:t>
            </w:r>
            <w:r>
              <w:t>; and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Chapter 57D</w:t>
            </w:r>
            <w:r>
              <w:t>.</w:t>
            </w:r>
          </w:p>
          <w:p w:rsidR="00A06A0F" w:rsidRDefault="007B47BC" w:rsidP="006D4DB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Article 4 of the bill does the following:</w:t>
            </w:r>
          </w:p>
          <w:p w:rsidR="00A06A0F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provides that the bill is intended as a codification only and that no substantive change in the law is intended by the bill; </w:t>
            </w:r>
          </w:p>
          <w:p w:rsidR="00A06A0F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provides for the </w:t>
            </w:r>
            <w:r>
              <w:t>applicability of the Code Construction Act</w:t>
            </w:r>
            <w:r>
              <w:t xml:space="preserve"> to the provisions of the Code of Criminal procedure enacted by the bill as part of the continuing statutory revision program</w:t>
            </w:r>
            <w:r>
              <w:t>;</w:t>
            </w:r>
          </w:p>
          <w:p w:rsidR="00A06A0F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establishes that</w:t>
            </w:r>
            <w:r w:rsidRPr="00A06A0F">
              <w:t xml:space="preserve"> reference in a law to a statute or a part of a statute in</w:t>
            </w:r>
            <w:r>
              <w:t xml:space="preserve"> the Code of </w:t>
            </w:r>
            <w:r>
              <w:t>Criminal Procedure</w:t>
            </w:r>
            <w:r w:rsidRPr="00A06A0F">
              <w:t xml:space="preserve"> </w:t>
            </w:r>
            <w:r>
              <w:t xml:space="preserve">enacted as part of that revision program </w:t>
            </w:r>
            <w:r w:rsidRPr="00A06A0F">
              <w:t>is considered to be a reference to the part of that code that revises that statute or part of that statute</w:t>
            </w:r>
            <w:r>
              <w:t xml:space="preserve">; </w:t>
            </w:r>
            <w:r>
              <w:t xml:space="preserve">and </w:t>
            </w:r>
          </w:p>
          <w:p w:rsidR="00172A8D" w:rsidRDefault="007B47BC" w:rsidP="006D4DB5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establishes </w:t>
            </w:r>
            <w:r>
              <w:t>the bill's effective date</w:t>
            </w:r>
            <w:r>
              <w:t>.</w:t>
            </w:r>
          </w:p>
          <w:p w:rsidR="008423E4" w:rsidRPr="00835628" w:rsidRDefault="007B47BC" w:rsidP="006D4DB5">
            <w:pPr>
              <w:rPr>
                <w:b/>
              </w:rPr>
            </w:pPr>
          </w:p>
        </w:tc>
      </w:tr>
      <w:tr w:rsidR="00D84C63" w:rsidTr="00345119">
        <w:tc>
          <w:tcPr>
            <w:tcW w:w="9576" w:type="dxa"/>
          </w:tcPr>
          <w:p w:rsidR="008423E4" w:rsidRPr="00A8133F" w:rsidRDefault="007B47BC" w:rsidP="006D4D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B47BC" w:rsidP="006D4DB5"/>
          <w:p w:rsidR="008423E4" w:rsidRPr="003624F2" w:rsidRDefault="007B47BC" w:rsidP="006D4D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24087">
              <w:t>January 1, 2021.</w:t>
            </w:r>
          </w:p>
          <w:p w:rsidR="008423E4" w:rsidRPr="00233FDB" w:rsidRDefault="007B47BC" w:rsidP="006D4DB5">
            <w:pPr>
              <w:rPr>
                <w:b/>
              </w:rPr>
            </w:pPr>
          </w:p>
        </w:tc>
      </w:tr>
    </w:tbl>
    <w:p w:rsidR="008423E4" w:rsidRPr="00BE0E75" w:rsidRDefault="007B47B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B47B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47BC">
      <w:r>
        <w:separator/>
      </w:r>
    </w:p>
  </w:endnote>
  <w:endnote w:type="continuationSeparator" w:id="0">
    <w:p w:rsidR="00000000" w:rsidRDefault="007B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4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4C63" w:rsidTr="009C1E9A">
      <w:trPr>
        <w:cantSplit/>
      </w:trPr>
      <w:tc>
        <w:tcPr>
          <w:tcW w:w="0" w:type="pct"/>
        </w:tcPr>
        <w:p w:rsidR="00137D90" w:rsidRDefault="007B47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B47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B47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B47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B47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4C63" w:rsidTr="009C1E9A">
      <w:trPr>
        <w:cantSplit/>
      </w:trPr>
      <w:tc>
        <w:tcPr>
          <w:tcW w:w="0" w:type="pct"/>
        </w:tcPr>
        <w:p w:rsidR="00EC379B" w:rsidRDefault="007B47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B47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24539</w:t>
          </w:r>
        </w:p>
      </w:tc>
      <w:tc>
        <w:tcPr>
          <w:tcW w:w="2453" w:type="pct"/>
        </w:tcPr>
        <w:p w:rsidR="00EC379B" w:rsidRDefault="007B47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19.96.255</w:t>
          </w:r>
          <w:r>
            <w:fldChar w:fldCharType="end"/>
          </w:r>
        </w:p>
      </w:tc>
    </w:tr>
    <w:tr w:rsidR="00D84C63" w:rsidTr="009C1E9A">
      <w:trPr>
        <w:cantSplit/>
      </w:trPr>
      <w:tc>
        <w:tcPr>
          <w:tcW w:w="0" w:type="pct"/>
        </w:tcPr>
        <w:p w:rsidR="00EC379B" w:rsidRDefault="007B47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B47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B47BC" w:rsidP="006D504F">
          <w:pPr>
            <w:pStyle w:val="Footer"/>
            <w:rPr>
              <w:rStyle w:val="PageNumber"/>
            </w:rPr>
          </w:pPr>
        </w:p>
        <w:p w:rsidR="00EC379B" w:rsidRDefault="007B47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4C6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B47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B47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B47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47BC">
      <w:r>
        <w:separator/>
      </w:r>
    </w:p>
  </w:footnote>
  <w:footnote w:type="continuationSeparator" w:id="0">
    <w:p w:rsidR="00000000" w:rsidRDefault="007B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4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4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B4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E08F0"/>
    <w:multiLevelType w:val="hybridMultilevel"/>
    <w:tmpl w:val="2944686A"/>
    <w:lvl w:ilvl="0" w:tplc="1CE4A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C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C6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CB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6E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CD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E2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40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941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C01D0"/>
    <w:multiLevelType w:val="hybridMultilevel"/>
    <w:tmpl w:val="560A2974"/>
    <w:lvl w:ilvl="0" w:tplc="032E3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E64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1CB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44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EE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0E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A0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CE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E27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63"/>
    <w:rsid w:val="007B47BC"/>
    <w:rsid w:val="00D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9BF33E-11FD-4F9D-83D9-6C3278F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2A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2A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2A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A8D"/>
    <w:rPr>
      <w:b/>
      <w:bCs/>
    </w:rPr>
  </w:style>
  <w:style w:type="paragraph" w:styleId="ListParagraph">
    <w:name w:val="List Paragraph"/>
    <w:basedOn w:val="Normal"/>
    <w:uiPriority w:val="34"/>
    <w:qFormat/>
    <w:rsid w:val="008D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2743</Characters>
  <Application>Microsoft Office Word</Application>
  <DocSecurity>4</DocSecurity>
  <Lines>89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HB04173 (Committee Report (Unamended))</vt:lpstr>
    </vt:vector>
  </TitlesOfParts>
  <Company>State of Texas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24539</dc:subject>
  <dc:creator>State of Texas</dc:creator>
  <dc:description>HB 4173 by Leach-(H)Judiciary &amp; Civil Jurisprudence</dc:description>
  <cp:lastModifiedBy>Stacey Nicchio</cp:lastModifiedBy>
  <cp:revision>2</cp:revision>
  <cp:lastPrinted>2003-11-26T17:21:00Z</cp:lastPrinted>
  <dcterms:created xsi:type="dcterms:W3CDTF">2019-04-17T00:44:00Z</dcterms:created>
  <dcterms:modified xsi:type="dcterms:W3CDTF">2019-04-17T00:44:00Z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19.96.255</vt:lpwstr>
  </property>
</Properties>
</file>