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41E5" w:rsidTr="00345119">
        <w:tc>
          <w:tcPr>
            <w:tcW w:w="9576" w:type="dxa"/>
            <w:noWrap/>
          </w:tcPr>
          <w:p w:rsidR="008423E4" w:rsidRPr="0022177D" w:rsidRDefault="00E56F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6FFA" w:rsidP="008423E4">
      <w:pPr>
        <w:jc w:val="center"/>
      </w:pPr>
    </w:p>
    <w:p w:rsidR="008423E4" w:rsidRPr="00B31F0E" w:rsidRDefault="00E56FFA" w:rsidP="008423E4"/>
    <w:p w:rsidR="008423E4" w:rsidRPr="00742794" w:rsidRDefault="00E56F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41E5" w:rsidTr="00345119">
        <w:tc>
          <w:tcPr>
            <w:tcW w:w="9576" w:type="dxa"/>
          </w:tcPr>
          <w:p w:rsidR="008423E4" w:rsidRPr="00861995" w:rsidRDefault="00E56FFA" w:rsidP="00345119">
            <w:pPr>
              <w:jc w:val="right"/>
            </w:pPr>
            <w:r>
              <w:t>H.B. 4183</w:t>
            </w:r>
          </w:p>
        </w:tc>
      </w:tr>
      <w:tr w:rsidR="009B41E5" w:rsidTr="00345119">
        <w:tc>
          <w:tcPr>
            <w:tcW w:w="9576" w:type="dxa"/>
          </w:tcPr>
          <w:p w:rsidR="008423E4" w:rsidRPr="00861995" w:rsidRDefault="00E56FFA" w:rsidP="00C650E1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9B41E5" w:rsidTr="00345119">
        <w:tc>
          <w:tcPr>
            <w:tcW w:w="9576" w:type="dxa"/>
          </w:tcPr>
          <w:p w:rsidR="008423E4" w:rsidRPr="00861995" w:rsidRDefault="00E56FFA" w:rsidP="00345119">
            <w:pPr>
              <w:jc w:val="right"/>
            </w:pPr>
            <w:r>
              <w:t>Public Health</w:t>
            </w:r>
          </w:p>
        </w:tc>
      </w:tr>
      <w:tr w:rsidR="009B41E5" w:rsidTr="00345119">
        <w:tc>
          <w:tcPr>
            <w:tcW w:w="9576" w:type="dxa"/>
          </w:tcPr>
          <w:p w:rsidR="008423E4" w:rsidRDefault="00E56F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6FFA" w:rsidP="008423E4">
      <w:pPr>
        <w:tabs>
          <w:tab w:val="right" w:pos="9360"/>
        </w:tabs>
      </w:pPr>
    </w:p>
    <w:p w:rsidR="008423E4" w:rsidRDefault="00E56FFA" w:rsidP="008423E4"/>
    <w:p w:rsidR="008423E4" w:rsidRDefault="00E56F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41E5" w:rsidTr="00345119">
        <w:tc>
          <w:tcPr>
            <w:tcW w:w="9576" w:type="dxa"/>
          </w:tcPr>
          <w:p w:rsidR="008423E4" w:rsidRPr="00A8133F" w:rsidRDefault="00E56FFA" w:rsidP="005A5A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6FFA" w:rsidP="005A5A55"/>
          <w:p w:rsidR="008423E4" w:rsidRDefault="00E56FFA" w:rsidP="005A5A55">
            <w:pPr>
              <w:pStyle w:val="Header"/>
              <w:jc w:val="both"/>
            </w:pPr>
            <w:r>
              <w:t xml:space="preserve">Adverse </w:t>
            </w:r>
            <w:r>
              <w:t>c</w:t>
            </w:r>
            <w:r>
              <w:t xml:space="preserve">hildhood </w:t>
            </w:r>
            <w:r>
              <w:t>e</w:t>
            </w:r>
            <w:r>
              <w:t xml:space="preserve">xperiences are traumatic events that can disrupt neurodevelopment and increase the likelihood of negative health, behavioral, educational, and economic outcomes. </w:t>
            </w:r>
            <w:r>
              <w:t>H.B.</w:t>
            </w:r>
            <w:r>
              <w:t xml:space="preserve"> 4183 seeks to facilitate a cross-system collaboration to better understand the prevalence</w:t>
            </w:r>
            <w:r>
              <w:t xml:space="preserve"> and impact of </w:t>
            </w:r>
            <w:r>
              <w:t xml:space="preserve">these experiences </w:t>
            </w:r>
            <w:r>
              <w:t>on children in</w:t>
            </w:r>
            <w:r>
              <w:t xml:space="preserve"> Texas and create a five-year plan to empower systems and communities to better prevent and </w:t>
            </w:r>
            <w:r>
              <w:t xml:space="preserve">address </w:t>
            </w:r>
            <w:r>
              <w:t xml:space="preserve">the effects of </w:t>
            </w:r>
            <w:r>
              <w:t>early adverse experiences</w:t>
            </w:r>
            <w:r>
              <w:t xml:space="preserve"> and implement best practices to build resiliency in children and fam</w:t>
            </w:r>
            <w:r>
              <w:t>ilies.</w:t>
            </w:r>
          </w:p>
          <w:p w:rsidR="008423E4" w:rsidRPr="00E26B13" w:rsidRDefault="00E56FFA" w:rsidP="005A5A55">
            <w:pPr>
              <w:rPr>
                <w:b/>
              </w:rPr>
            </w:pPr>
          </w:p>
        </w:tc>
      </w:tr>
      <w:tr w:rsidR="009B41E5" w:rsidTr="00345119">
        <w:tc>
          <w:tcPr>
            <w:tcW w:w="9576" w:type="dxa"/>
          </w:tcPr>
          <w:p w:rsidR="0017725B" w:rsidRDefault="00E56FFA" w:rsidP="005A5A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6FFA" w:rsidP="005A5A55">
            <w:pPr>
              <w:rPr>
                <w:b/>
                <w:u w:val="single"/>
              </w:rPr>
            </w:pPr>
          </w:p>
          <w:p w:rsidR="00905AE0" w:rsidRPr="00905AE0" w:rsidRDefault="00E56FFA" w:rsidP="005A5A5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E56FFA" w:rsidP="005A5A55">
            <w:pPr>
              <w:rPr>
                <w:b/>
                <w:u w:val="single"/>
              </w:rPr>
            </w:pPr>
          </w:p>
        </w:tc>
      </w:tr>
      <w:tr w:rsidR="009B41E5" w:rsidTr="00345119">
        <w:tc>
          <w:tcPr>
            <w:tcW w:w="9576" w:type="dxa"/>
          </w:tcPr>
          <w:p w:rsidR="008423E4" w:rsidRPr="00A8133F" w:rsidRDefault="00E56FFA" w:rsidP="005A5A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6FFA" w:rsidP="005A5A55"/>
          <w:p w:rsidR="00905AE0" w:rsidRDefault="00E56FFA" w:rsidP="005A5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6FFA" w:rsidP="005A5A55">
            <w:pPr>
              <w:rPr>
                <w:b/>
              </w:rPr>
            </w:pPr>
          </w:p>
        </w:tc>
      </w:tr>
      <w:tr w:rsidR="009B41E5" w:rsidTr="00345119">
        <w:tc>
          <w:tcPr>
            <w:tcW w:w="9576" w:type="dxa"/>
          </w:tcPr>
          <w:p w:rsidR="008423E4" w:rsidRPr="00A8133F" w:rsidRDefault="00E56FFA" w:rsidP="005A5A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6FFA" w:rsidP="005A5A55"/>
          <w:p w:rsidR="008423E4" w:rsidRDefault="00E56FFA" w:rsidP="005A5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4183 amends the Government Code to require the Health and Human Services Commission (HHSC)</w:t>
            </w:r>
            <w:r>
              <w:t xml:space="preserve">, </w:t>
            </w:r>
            <w:r w:rsidRPr="00211927">
              <w:t>in col</w:t>
            </w:r>
            <w:r>
              <w:t xml:space="preserve">laboration with </w:t>
            </w:r>
            <w:r>
              <w:t>specified state entities</w:t>
            </w:r>
            <w:r>
              <w:t xml:space="preserve">, </w:t>
            </w:r>
            <w:r>
              <w:t>to take the following actions</w:t>
            </w:r>
            <w:r w:rsidRPr="00634AB2">
              <w:t xml:space="preserve"> </w:t>
            </w:r>
            <w:r w:rsidRPr="00634AB2">
              <w:t xml:space="preserve">in order to reduce exposure of children in Texas to adverse childhood experiences and </w:t>
            </w:r>
            <w:r w:rsidRPr="00634AB2">
              <w:t>to address the impacts of those experiences</w:t>
            </w:r>
            <w:r>
              <w:t>:</w:t>
            </w:r>
          </w:p>
          <w:p w:rsidR="00211927" w:rsidRDefault="00E56FFA" w:rsidP="005A5A5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analyze </w:t>
            </w:r>
            <w:r>
              <w:t xml:space="preserve">specified </w:t>
            </w:r>
            <w:r>
              <w:t xml:space="preserve">data related to the causes and effects of </w:t>
            </w:r>
            <w:r>
              <w:t>those</w:t>
            </w:r>
            <w:r>
              <w:t xml:space="preserve"> experiences;</w:t>
            </w:r>
          </w:p>
          <w:p w:rsidR="00211927" w:rsidRDefault="00E56FFA" w:rsidP="005A5A5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evaluate prevention needs and gaps in services and support regarding awareness, assessments, and interventions addressing </w:t>
            </w:r>
            <w:r>
              <w:t>those</w:t>
            </w:r>
            <w:r>
              <w:t xml:space="preserve"> expe</w:t>
            </w:r>
            <w:r>
              <w:t>riences;</w:t>
            </w:r>
          </w:p>
          <w:p w:rsidR="00211927" w:rsidRDefault="00E56FFA" w:rsidP="005A5A5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identify methods to incorporate best practices for preventing and treating </w:t>
            </w:r>
            <w:r>
              <w:t>those</w:t>
            </w:r>
            <w:r>
              <w:t xml:space="preserve"> experiences into existing services and support programs offered for children and families; and</w:t>
            </w:r>
          </w:p>
          <w:p w:rsidR="00211927" w:rsidRDefault="00E56FFA" w:rsidP="005A5A5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develop</w:t>
            </w:r>
            <w:r>
              <w:t>,</w:t>
            </w:r>
            <w:r>
              <w:t xml:space="preserve"> </w:t>
            </w:r>
            <w:r>
              <w:t xml:space="preserve">not later than December 31, 2020, </w:t>
            </w:r>
            <w:r>
              <w:t>and implement a five-year st</w:t>
            </w:r>
            <w:r>
              <w:t xml:space="preserve">rategic plan to prevent and address </w:t>
            </w:r>
            <w:r>
              <w:t xml:space="preserve">those </w:t>
            </w:r>
            <w:r>
              <w:t>experiences.</w:t>
            </w:r>
          </w:p>
          <w:p w:rsidR="00211927" w:rsidRDefault="00E56FFA" w:rsidP="005A5A55">
            <w:pPr>
              <w:pStyle w:val="Header"/>
              <w:spacing w:before="120" w:after="120"/>
              <w:jc w:val="both"/>
            </w:pPr>
            <w:r>
              <w:t>The bill prohibits the inclusion of sex education in a program, service, or support established under the bill's provisions.</w:t>
            </w:r>
          </w:p>
          <w:p w:rsidR="00A27F15" w:rsidRDefault="00E56FFA" w:rsidP="005A5A55">
            <w:pPr>
              <w:pStyle w:val="Header"/>
              <w:spacing w:before="120" w:after="120"/>
              <w:jc w:val="both"/>
            </w:pPr>
          </w:p>
          <w:p w:rsidR="00211927" w:rsidRDefault="00E56FFA" w:rsidP="005A5A55">
            <w:pPr>
              <w:pStyle w:val="Header"/>
              <w:spacing w:before="120" w:after="120"/>
              <w:jc w:val="both"/>
            </w:pPr>
            <w:r>
              <w:t>H.B. 4183</w:t>
            </w:r>
            <w:r>
              <w:t xml:space="preserve"> </w:t>
            </w:r>
            <w:r>
              <w:t xml:space="preserve">sets out provisions relating to the </w:t>
            </w:r>
            <w:r>
              <w:t xml:space="preserve">strategic </w:t>
            </w:r>
            <w:r>
              <w:t>plan's contents and</w:t>
            </w:r>
            <w:r>
              <w:t xml:space="preserve"> the representatives with whom HHSC </w:t>
            </w:r>
            <w:r>
              <w:t>may</w:t>
            </w:r>
            <w:r>
              <w:t xml:space="preserve"> collaborate </w:t>
            </w:r>
            <w:r>
              <w:t>in developing the plan</w:t>
            </w:r>
            <w:r>
              <w:t>. The bill requires the state entities</w:t>
            </w:r>
            <w:r>
              <w:t xml:space="preserve"> with which HHSC</w:t>
            </w:r>
            <w:r>
              <w:t xml:space="preserve"> </w:t>
            </w:r>
            <w:r>
              <w:t xml:space="preserve">must collaborate in addressing adverse childhood experiences </w:t>
            </w:r>
            <w:r>
              <w:t>to develop a community awareness approach to implement the strateg</w:t>
            </w:r>
            <w:r>
              <w:t xml:space="preserve">ies and recommendations in the </w:t>
            </w:r>
            <w:r>
              <w:t xml:space="preserve">strategic </w:t>
            </w:r>
            <w:r>
              <w:t xml:space="preserve">plan and requires the entities to </w:t>
            </w:r>
            <w:r>
              <w:t>publish the plan on their respective website</w:t>
            </w:r>
            <w:r>
              <w:t>s</w:t>
            </w:r>
            <w:r>
              <w:t xml:space="preserve">. </w:t>
            </w:r>
          </w:p>
          <w:p w:rsidR="00800386" w:rsidRDefault="00E56FFA" w:rsidP="005A5A55">
            <w:pPr>
              <w:pStyle w:val="Header"/>
              <w:spacing w:before="120" w:after="120"/>
              <w:jc w:val="both"/>
            </w:pPr>
          </w:p>
          <w:p w:rsidR="00800386" w:rsidRDefault="00E56FFA" w:rsidP="005A5A55">
            <w:pPr>
              <w:pStyle w:val="Header"/>
              <w:spacing w:before="120" w:after="120"/>
              <w:jc w:val="both"/>
            </w:pPr>
            <w:r>
              <w:t>H.B. 4183 requires HHSC, not later than March 1, 2020, to d</w:t>
            </w:r>
            <w:r w:rsidRPr="00800386">
              <w:t>evelop a progress report to include data, best practices, and i</w:t>
            </w:r>
            <w:r>
              <w:t>mplementab</w:t>
            </w:r>
            <w:r>
              <w:t xml:space="preserve">le changes within </w:t>
            </w:r>
            <w:r>
              <w:t xml:space="preserve">its </w:t>
            </w:r>
            <w:r w:rsidRPr="00800386">
              <w:t>current capacity</w:t>
            </w:r>
            <w:r>
              <w:t xml:space="preserve"> and</w:t>
            </w:r>
            <w:r>
              <w:t xml:space="preserve"> </w:t>
            </w:r>
            <w:r>
              <w:t xml:space="preserve">to submit </w:t>
            </w:r>
            <w:r>
              <w:t xml:space="preserve">not later than December 31, 2020, </w:t>
            </w:r>
            <w:r>
              <w:t xml:space="preserve">a report </w:t>
            </w:r>
            <w:r>
              <w:t xml:space="preserve">to </w:t>
            </w:r>
            <w:r w:rsidRPr="00800386">
              <w:t xml:space="preserve">the </w:t>
            </w:r>
            <w:r>
              <w:t xml:space="preserve">specified </w:t>
            </w:r>
            <w:r>
              <w:t>committees of the senate and the house of representatives</w:t>
            </w:r>
            <w:r w:rsidRPr="00800386">
              <w:t xml:space="preserve"> regarding </w:t>
            </w:r>
            <w:r>
              <w:t>its</w:t>
            </w:r>
            <w:r>
              <w:t xml:space="preserve"> </w:t>
            </w:r>
            <w:r w:rsidRPr="00800386">
              <w:t xml:space="preserve">strategies for preventing and treating adverse childhood experiences </w:t>
            </w:r>
            <w:r w:rsidRPr="00800386">
              <w:t>and any plan to incorporate those strategies into existing services and support programs for children and families.</w:t>
            </w:r>
          </w:p>
          <w:p w:rsidR="008423E4" w:rsidRPr="00835628" w:rsidRDefault="00E56FFA" w:rsidP="005A5A55">
            <w:pPr>
              <w:rPr>
                <w:b/>
              </w:rPr>
            </w:pPr>
          </w:p>
        </w:tc>
      </w:tr>
      <w:tr w:rsidR="009B41E5" w:rsidTr="00345119">
        <w:tc>
          <w:tcPr>
            <w:tcW w:w="9576" w:type="dxa"/>
          </w:tcPr>
          <w:p w:rsidR="008423E4" w:rsidRPr="00A8133F" w:rsidRDefault="00E56FFA" w:rsidP="005A5A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6FFA" w:rsidP="005A5A55"/>
          <w:p w:rsidR="008423E4" w:rsidRPr="003624F2" w:rsidRDefault="00E56FFA" w:rsidP="005A5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56FFA" w:rsidP="005A5A55">
            <w:pPr>
              <w:rPr>
                <w:b/>
              </w:rPr>
            </w:pPr>
          </w:p>
        </w:tc>
      </w:tr>
    </w:tbl>
    <w:p w:rsidR="008423E4" w:rsidRPr="00BE0E75" w:rsidRDefault="00E56F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6FF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6FFA">
      <w:r>
        <w:separator/>
      </w:r>
    </w:p>
  </w:endnote>
  <w:endnote w:type="continuationSeparator" w:id="0">
    <w:p w:rsidR="00000000" w:rsidRDefault="00E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41E5" w:rsidTr="009C1E9A">
      <w:trPr>
        <w:cantSplit/>
      </w:trPr>
      <w:tc>
        <w:tcPr>
          <w:tcW w:w="0" w:type="pct"/>
        </w:tcPr>
        <w:p w:rsidR="00137D90" w:rsidRDefault="00E56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6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6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6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6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E5" w:rsidTr="009C1E9A">
      <w:trPr>
        <w:cantSplit/>
      </w:trPr>
      <w:tc>
        <w:tcPr>
          <w:tcW w:w="0" w:type="pct"/>
        </w:tcPr>
        <w:p w:rsidR="00EC379B" w:rsidRDefault="00E56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6F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27339</w:t>
          </w:r>
        </w:p>
      </w:tc>
      <w:tc>
        <w:tcPr>
          <w:tcW w:w="2453" w:type="pct"/>
        </w:tcPr>
        <w:p w:rsidR="00EC379B" w:rsidRDefault="00E56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19.102.1434</w:t>
          </w:r>
          <w:r>
            <w:fldChar w:fldCharType="end"/>
          </w:r>
        </w:p>
      </w:tc>
    </w:tr>
    <w:tr w:rsidR="009B41E5" w:rsidTr="009C1E9A">
      <w:trPr>
        <w:cantSplit/>
      </w:trPr>
      <w:tc>
        <w:tcPr>
          <w:tcW w:w="0" w:type="pct"/>
        </w:tcPr>
        <w:p w:rsidR="00EC379B" w:rsidRDefault="00E56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6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6FFA" w:rsidP="006D504F">
          <w:pPr>
            <w:pStyle w:val="Footer"/>
            <w:rPr>
              <w:rStyle w:val="PageNumber"/>
            </w:rPr>
          </w:pPr>
        </w:p>
        <w:p w:rsidR="00EC379B" w:rsidRDefault="00E56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6F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56F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6F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6FFA">
      <w:r>
        <w:separator/>
      </w:r>
    </w:p>
  </w:footnote>
  <w:footnote w:type="continuationSeparator" w:id="0">
    <w:p w:rsidR="00000000" w:rsidRDefault="00E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6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6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5319"/>
    <w:multiLevelType w:val="hybridMultilevel"/>
    <w:tmpl w:val="660C72DC"/>
    <w:lvl w:ilvl="0" w:tplc="90103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E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65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AD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9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09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40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4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A8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5"/>
    <w:rsid w:val="009B41E5"/>
    <w:rsid w:val="00E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462D9-E519-4A7F-BDCB-ECF1727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9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9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2625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HB04183 (Committee Report (Unamended))</vt:lpstr>
    </vt:vector>
  </TitlesOfParts>
  <Company>State of Texas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27339</dc:subject>
  <dc:creator>State of Texas</dc:creator>
  <dc:description>HB 4183 by Parker-(H)Public Health</dc:description>
  <cp:lastModifiedBy>Erin Conway</cp:lastModifiedBy>
  <cp:revision>2</cp:revision>
  <cp:lastPrinted>2003-11-26T17:21:00Z</cp:lastPrinted>
  <dcterms:created xsi:type="dcterms:W3CDTF">2019-04-17T22:40:00Z</dcterms:created>
  <dcterms:modified xsi:type="dcterms:W3CDTF">2019-04-17T22:40:00Z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19.102.1434</vt:lpwstr>
  </property>
</Properties>
</file>