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3B19" w:rsidTr="00345119">
        <w:tc>
          <w:tcPr>
            <w:tcW w:w="9576" w:type="dxa"/>
            <w:noWrap/>
          </w:tcPr>
          <w:p w:rsidR="008423E4" w:rsidRPr="0022177D" w:rsidRDefault="00E34A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4A35" w:rsidP="008423E4">
      <w:pPr>
        <w:jc w:val="center"/>
      </w:pPr>
    </w:p>
    <w:p w:rsidR="008423E4" w:rsidRPr="00B31F0E" w:rsidRDefault="00E34A35" w:rsidP="008423E4"/>
    <w:p w:rsidR="008423E4" w:rsidRPr="00742794" w:rsidRDefault="00E34A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3B19" w:rsidTr="00345119">
        <w:tc>
          <w:tcPr>
            <w:tcW w:w="9576" w:type="dxa"/>
          </w:tcPr>
          <w:p w:rsidR="008423E4" w:rsidRPr="00861995" w:rsidRDefault="00E34A35" w:rsidP="00345119">
            <w:pPr>
              <w:jc w:val="right"/>
            </w:pPr>
            <w:r>
              <w:t>C.S.H.B. 4205</w:t>
            </w:r>
          </w:p>
        </w:tc>
      </w:tr>
      <w:tr w:rsidR="00C63B19" w:rsidTr="00345119">
        <w:tc>
          <w:tcPr>
            <w:tcW w:w="9576" w:type="dxa"/>
          </w:tcPr>
          <w:p w:rsidR="008423E4" w:rsidRPr="00861995" w:rsidRDefault="00E34A35" w:rsidP="00DE2329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C63B19" w:rsidTr="00345119">
        <w:tc>
          <w:tcPr>
            <w:tcW w:w="9576" w:type="dxa"/>
          </w:tcPr>
          <w:p w:rsidR="008423E4" w:rsidRPr="00861995" w:rsidRDefault="00E34A35" w:rsidP="00345119">
            <w:pPr>
              <w:jc w:val="right"/>
            </w:pPr>
            <w:r>
              <w:t>Public Education</w:t>
            </w:r>
          </w:p>
        </w:tc>
      </w:tr>
      <w:tr w:rsidR="00C63B19" w:rsidTr="00345119">
        <w:tc>
          <w:tcPr>
            <w:tcW w:w="9576" w:type="dxa"/>
          </w:tcPr>
          <w:p w:rsidR="008423E4" w:rsidRDefault="00E34A3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34A35" w:rsidP="008423E4">
      <w:pPr>
        <w:tabs>
          <w:tab w:val="right" w:pos="9360"/>
        </w:tabs>
      </w:pPr>
    </w:p>
    <w:p w:rsidR="008423E4" w:rsidRDefault="00E34A35" w:rsidP="008423E4"/>
    <w:p w:rsidR="008423E4" w:rsidRDefault="00E34A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3B19" w:rsidTr="00345119">
        <w:tc>
          <w:tcPr>
            <w:tcW w:w="9576" w:type="dxa"/>
          </w:tcPr>
          <w:p w:rsidR="008423E4" w:rsidRPr="00A8133F" w:rsidRDefault="00E34A35" w:rsidP="000773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4A35" w:rsidP="00077383"/>
          <w:p w:rsidR="001A57FD" w:rsidRDefault="00E34A35" w:rsidP="00077383">
            <w:pPr>
              <w:pStyle w:val="Header"/>
              <w:jc w:val="both"/>
            </w:pPr>
            <w:r>
              <w:tab/>
            </w:r>
            <w:r>
              <w:t>It has been suggested that</w:t>
            </w:r>
            <w:r>
              <w:t xml:space="preserve"> although there have been</w:t>
            </w:r>
            <w:r>
              <w:t xml:space="preserve"> recent legislative efforts to provide for the improvement of schools </w:t>
            </w:r>
            <w:r>
              <w:t>that</w:t>
            </w:r>
            <w:r>
              <w:t xml:space="preserve"> receive poor performance ratings</w:t>
            </w:r>
            <w:r>
              <w:t>,</w:t>
            </w:r>
            <w:r>
              <w:t xml:space="preserve"> public school districts </w:t>
            </w:r>
            <w:r>
              <w:t xml:space="preserve">still </w:t>
            </w:r>
            <w:r>
              <w:t xml:space="preserve">need  more flexibility in making the right decision regarding how to turn schools within the district around. </w:t>
            </w:r>
            <w:r>
              <w:t>C.S.H.B.</w:t>
            </w:r>
            <w:r>
              <w:t xml:space="preserve"> 4205 seeks to add another tool to a district's toolbox in addressing the</w:t>
            </w:r>
            <w:r>
              <w:t xml:space="preserve"> needs of its students by </w:t>
            </w:r>
            <w:r>
              <w:t>expanding the circumstances</w:t>
            </w:r>
            <w:r>
              <w:t xml:space="preserve"> under which a closed district campus may be repurposed to serve students at that campus location.</w:t>
            </w:r>
          </w:p>
          <w:p w:rsidR="008423E4" w:rsidRPr="00E26B13" w:rsidRDefault="00E34A35" w:rsidP="00077383">
            <w:pPr>
              <w:rPr>
                <w:b/>
              </w:rPr>
            </w:pPr>
          </w:p>
        </w:tc>
      </w:tr>
      <w:tr w:rsidR="00C63B19" w:rsidTr="00345119">
        <w:tc>
          <w:tcPr>
            <w:tcW w:w="9576" w:type="dxa"/>
          </w:tcPr>
          <w:p w:rsidR="0017725B" w:rsidRDefault="00E34A35" w:rsidP="00077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4A35" w:rsidP="00077383">
            <w:pPr>
              <w:rPr>
                <w:b/>
                <w:u w:val="single"/>
              </w:rPr>
            </w:pPr>
          </w:p>
          <w:p w:rsidR="00654B39" w:rsidRPr="00654B39" w:rsidRDefault="00E34A35" w:rsidP="00077383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4A35" w:rsidP="00077383">
            <w:pPr>
              <w:rPr>
                <w:b/>
                <w:u w:val="single"/>
              </w:rPr>
            </w:pPr>
          </w:p>
        </w:tc>
      </w:tr>
      <w:tr w:rsidR="00C63B19" w:rsidTr="00345119">
        <w:tc>
          <w:tcPr>
            <w:tcW w:w="9576" w:type="dxa"/>
          </w:tcPr>
          <w:p w:rsidR="008423E4" w:rsidRPr="00A8133F" w:rsidRDefault="00E34A35" w:rsidP="000773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4A35" w:rsidP="00077383"/>
          <w:p w:rsidR="00654B39" w:rsidRDefault="00E34A35" w:rsidP="000773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E34A35" w:rsidP="00077383">
            <w:pPr>
              <w:rPr>
                <w:b/>
              </w:rPr>
            </w:pPr>
          </w:p>
        </w:tc>
      </w:tr>
      <w:tr w:rsidR="00C63B19" w:rsidTr="00345119">
        <w:tc>
          <w:tcPr>
            <w:tcW w:w="9576" w:type="dxa"/>
          </w:tcPr>
          <w:p w:rsidR="008423E4" w:rsidRPr="00A8133F" w:rsidRDefault="00E34A35" w:rsidP="000773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4A35" w:rsidP="00077383"/>
          <w:p w:rsidR="008206BB" w:rsidRDefault="00E34A35" w:rsidP="00077383">
            <w:pPr>
              <w:pStyle w:val="Header"/>
              <w:jc w:val="both"/>
            </w:pPr>
            <w:r>
              <w:t>C.S.H.B.</w:t>
            </w:r>
            <w:r>
              <w:t xml:space="preserve"> 4205 amends the Education Code to authorize a closed</w:t>
            </w:r>
            <w:r>
              <w:t xml:space="preserve"> public school</w:t>
            </w:r>
            <w:r>
              <w:t xml:space="preserve"> district</w:t>
            </w:r>
            <w:r>
              <w:t xml:space="preserve"> campus to be repurposed </w:t>
            </w:r>
            <w:r w:rsidRPr="00217A98">
              <w:t xml:space="preserve">to </w:t>
            </w:r>
            <w:r w:rsidRPr="00217A98">
              <w:t>serve studen</w:t>
            </w:r>
            <w:r>
              <w:t>ts at that campus location if the commissioner of education</w:t>
            </w:r>
            <w:r>
              <w:t xml:space="preserve"> </w:t>
            </w:r>
            <w:r w:rsidRPr="00225EC0">
              <w:t>approves a new campus identification number for the repurposed campus</w:t>
            </w:r>
            <w:r>
              <w:t xml:space="preserve"> and </w:t>
            </w:r>
            <w:r>
              <w:t xml:space="preserve">finds that the repurposed campus </w:t>
            </w:r>
            <w:r>
              <w:t xml:space="preserve">offers a distinctly different academic program and </w:t>
            </w:r>
            <w:r>
              <w:t xml:space="preserve">is operated </w:t>
            </w:r>
            <w:r>
              <w:t>under a contra</w:t>
            </w:r>
            <w:r>
              <w:t>ct</w:t>
            </w:r>
            <w:r>
              <w:t>,</w:t>
            </w:r>
            <w:r>
              <w:t xml:space="preserve"> approved by the</w:t>
            </w:r>
            <w:r>
              <w:t xml:space="preserve"> </w:t>
            </w:r>
            <w:r>
              <w:t>district</w:t>
            </w:r>
            <w:r>
              <w:t>'s</w:t>
            </w:r>
            <w:r>
              <w:t xml:space="preserve"> board of trustees</w:t>
            </w:r>
            <w:r>
              <w:t>,</w:t>
            </w:r>
            <w:r>
              <w:t xml:space="preserve"> with a nonprofit organization exempt from federal taxation under </w:t>
            </w:r>
            <w:r>
              <w:t xml:space="preserve">Section 501(c)(3) of </w:t>
            </w:r>
            <w:r>
              <w:t>the federal</w:t>
            </w:r>
            <w:r w:rsidRPr="00225EC0">
              <w:t xml:space="preserve"> Internal Revenue Code of 1986</w:t>
            </w:r>
            <w:r>
              <w:t xml:space="preserve"> that</w:t>
            </w:r>
            <w:r>
              <w:t>:</w:t>
            </w:r>
          </w:p>
          <w:p w:rsidR="008206BB" w:rsidRDefault="00E34A35" w:rsidP="000773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a governing board that is independent of the district;</w:t>
            </w:r>
          </w:p>
          <w:p w:rsidR="008206BB" w:rsidRDefault="00E34A35" w:rsidP="000773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a success</w:t>
            </w:r>
            <w:r>
              <w:t xml:space="preserve">ful history of operating </w:t>
            </w:r>
            <w:r>
              <w:t xml:space="preserve">public </w:t>
            </w:r>
            <w:r>
              <w:t>school district campus</w:t>
            </w:r>
            <w:r>
              <w:t>es</w:t>
            </w:r>
            <w:r>
              <w:t xml:space="preserve"> or open-enrollment charter school</w:t>
            </w:r>
            <w:r>
              <w:t>s</w:t>
            </w:r>
            <w:r>
              <w:t>, a majority of which have been assigned an overall performance rating of B or higher for the preceding school year</w:t>
            </w:r>
            <w:r>
              <w:t>, that cumulatively serve 10,000 or more students</w:t>
            </w:r>
            <w:r>
              <w:t>;</w:t>
            </w:r>
            <w:r>
              <w:t xml:space="preserve"> and </w:t>
            </w:r>
          </w:p>
          <w:p w:rsidR="006F3B2A" w:rsidRDefault="00E34A35" w:rsidP="000773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has been assigned an overall performance rating of B or higher </w:t>
            </w:r>
            <w:r>
              <w:t>for the preceding school year</w:t>
            </w:r>
            <w:r w:rsidRPr="00225EC0">
              <w:t>.</w:t>
            </w:r>
            <w:r>
              <w:t xml:space="preserve"> </w:t>
            </w:r>
          </w:p>
          <w:p w:rsidR="00C26613" w:rsidRDefault="00E34A35" w:rsidP="00077383">
            <w:pPr>
              <w:pStyle w:val="Header"/>
              <w:spacing w:before="120" w:after="120"/>
              <w:jc w:val="both"/>
            </w:pPr>
          </w:p>
          <w:p w:rsidR="008423E4" w:rsidRPr="00835628" w:rsidRDefault="00E34A35" w:rsidP="00077383">
            <w:pPr>
              <w:rPr>
                <w:b/>
              </w:rPr>
            </w:pPr>
          </w:p>
        </w:tc>
      </w:tr>
      <w:tr w:rsidR="00C63B19" w:rsidTr="00345119">
        <w:tc>
          <w:tcPr>
            <w:tcW w:w="9576" w:type="dxa"/>
          </w:tcPr>
          <w:p w:rsidR="008423E4" w:rsidRPr="00A8133F" w:rsidRDefault="00E34A35" w:rsidP="000773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4A35" w:rsidP="00077383"/>
          <w:p w:rsidR="008423E4" w:rsidRPr="003624F2" w:rsidRDefault="00E34A35" w:rsidP="000773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34A35" w:rsidP="00077383">
            <w:pPr>
              <w:rPr>
                <w:b/>
              </w:rPr>
            </w:pPr>
          </w:p>
        </w:tc>
      </w:tr>
      <w:tr w:rsidR="00C63B19" w:rsidTr="00345119">
        <w:tc>
          <w:tcPr>
            <w:tcW w:w="9576" w:type="dxa"/>
          </w:tcPr>
          <w:p w:rsidR="00DE2329" w:rsidRDefault="00E34A35" w:rsidP="000773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035A" w:rsidRDefault="00E34A35" w:rsidP="00077383">
            <w:pPr>
              <w:jc w:val="both"/>
            </w:pPr>
          </w:p>
          <w:p w:rsidR="0021035A" w:rsidRDefault="00E34A35" w:rsidP="00077383">
            <w:pPr>
              <w:jc w:val="both"/>
            </w:pPr>
            <w:r>
              <w:t xml:space="preserve">While </w:t>
            </w:r>
            <w:r>
              <w:t>C.S.H.B. 4205 may differ from the original in minor or nonsubstantive ways, the following summarizes the substantial differences between the introduced and committee substitute versions of the bill.</w:t>
            </w:r>
          </w:p>
          <w:p w:rsidR="0021035A" w:rsidRDefault="00E34A35" w:rsidP="00077383">
            <w:pPr>
              <w:jc w:val="both"/>
            </w:pPr>
          </w:p>
          <w:p w:rsidR="006F69A8" w:rsidRDefault="00E34A35" w:rsidP="00077383">
            <w:pPr>
              <w:jc w:val="both"/>
            </w:pPr>
            <w:r>
              <w:t>The substitute revises the requisite conditions for repu</w:t>
            </w:r>
            <w:r>
              <w:t>rposing a campus, as that pertains to a campus operated by a certain nonprofit organizations by:</w:t>
            </w:r>
          </w:p>
          <w:p w:rsidR="0021035A" w:rsidRDefault="00E34A35" w:rsidP="0007738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replacing the requirement that the campus be operated in partnership with the organization with the requirement that the campus be operated under a contract, a</w:t>
            </w:r>
            <w:r>
              <w:t>pproved by the district's board</w:t>
            </w:r>
            <w:r>
              <w:t xml:space="preserve"> of trustees, with </w:t>
            </w:r>
            <w:r>
              <w:t>the organization;</w:t>
            </w:r>
          </w:p>
          <w:p w:rsidR="006F69A8" w:rsidRDefault="00E34A35" w:rsidP="0007738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requiring that organization</w:t>
            </w:r>
            <w:r>
              <w:t xml:space="preserve"> to</w:t>
            </w:r>
            <w:r>
              <w:t xml:space="preserve"> have a governing board that is independent of the district;</w:t>
            </w:r>
            <w:r>
              <w:t xml:space="preserve"> </w:t>
            </w:r>
          </w:p>
          <w:p w:rsidR="006F69A8" w:rsidRDefault="00E34A35" w:rsidP="0007738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replacing the requirement for the organization to have a successful history of operating a campu</w:t>
            </w:r>
            <w:r>
              <w:t>s or charter school serving 10,000 or more students with the requirement for the organization to have a successful history of operating campuses or charter schools that cumulatively serve 10,000 or more students; and</w:t>
            </w:r>
          </w:p>
          <w:p w:rsidR="0021035A" w:rsidRDefault="00E34A35" w:rsidP="00077383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that the majority of </w:t>
            </w:r>
            <w:r>
              <w:t xml:space="preserve">the </w:t>
            </w:r>
            <w:r>
              <w:t>camp</w:t>
            </w:r>
            <w:r>
              <w:t xml:space="preserve">uses or charter schools operated by the </w:t>
            </w:r>
            <w:r>
              <w:t xml:space="preserve">organization </w:t>
            </w:r>
            <w:r>
              <w:t>have been assigned an overall performance rating of B or higher for the preceding school year.</w:t>
            </w:r>
          </w:p>
          <w:p w:rsidR="00F11224" w:rsidRDefault="00E34A35" w:rsidP="00077383">
            <w:pPr>
              <w:jc w:val="both"/>
            </w:pPr>
          </w:p>
          <w:p w:rsidR="00F11224" w:rsidRDefault="00E34A35" w:rsidP="00077383">
            <w:pPr>
              <w:jc w:val="both"/>
            </w:pPr>
          </w:p>
          <w:p w:rsidR="0021035A" w:rsidRPr="0021035A" w:rsidRDefault="00E34A35" w:rsidP="00077383">
            <w:pPr>
              <w:jc w:val="both"/>
            </w:pPr>
          </w:p>
        </w:tc>
      </w:tr>
      <w:tr w:rsidR="00C63B19" w:rsidTr="00345119">
        <w:tc>
          <w:tcPr>
            <w:tcW w:w="9576" w:type="dxa"/>
          </w:tcPr>
          <w:p w:rsidR="00DE2329" w:rsidRPr="009C1E9A" w:rsidRDefault="00E34A35" w:rsidP="00077383">
            <w:pPr>
              <w:rPr>
                <w:b/>
                <w:u w:val="single"/>
              </w:rPr>
            </w:pPr>
          </w:p>
        </w:tc>
      </w:tr>
      <w:tr w:rsidR="00C63B19" w:rsidTr="00345119">
        <w:tc>
          <w:tcPr>
            <w:tcW w:w="9576" w:type="dxa"/>
          </w:tcPr>
          <w:p w:rsidR="00DE2329" w:rsidRPr="00DE2329" w:rsidRDefault="00E34A35" w:rsidP="00077383">
            <w:pPr>
              <w:jc w:val="both"/>
            </w:pPr>
          </w:p>
        </w:tc>
      </w:tr>
    </w:tbl>
    <w:p w:rsidR="008423E4" w:rsidRPr="00BE0E75" w:rsidRDefault="00E34A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4A3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A35">
      <w:r>
        <w:separator/>
      </w:r>
    </w:p>
  </w:endnote>
  <w:endnote w:type="continuationSeparator" w:id="0">
    <w:p w:rsidR="00000000" w:rsidRDefault="00E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4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3B19" w:rsidTr="009C1E9A">
      <w:trPr>
        <w:cantSplit/>
      </w:trPr>
      <w:tc>
        <w:tcPr>
          <w:tcW w:w="0" w:type="pct"/>
        </w:tcPr>
        <w:p w:rsidR="00137D90" w:rsidRDefault="00E34A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4A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4A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4A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4A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B19" w:rsidTr="009C1E9A">
      <w:trPr>
        <w:cantSplit/>
      </w:trPr>
      <w:tc>
        <w:tcPr>
          <w:tcW w:w="0" w:type="pct"/>
        </w:tcPr>
        <w:p w:rsidR="00EC379B" w:rsidRDefault="00E34A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4A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27353</w:t>
          </w:r>
        </w:p>
      </w:tc>
      <w:tc>
        <w:tcPr>
          <w:tcW w:w="2453" w:type="pct"/>
        </w:tcPr>
        <w:p w:rsidR="00EC379B" w:rsidRDefault="00E34A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19.105.1124</w:t>
          </w:r>
          <w:r>
            <w:fldChar w:fldCharType="end"/>
          </w:r>
        </w:p>
      </w:tc>
    </w:tr>
    <w:tr w:rsidR="00C63B19" w:rsidTr="009C1E9A">
      <w:trPr>
        <w:cantSplit/>
      </w:trPr>
      <w:tc>
        <w:tcPr>
          <w:tcW w:w="0" w:type="pct"/>
        </w:tcPr>
        <w:p w:rsidR="00EC379B" w:rsidRDefault="00E34A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4A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26035</w:t>
          </w:r>
        </w:p>
      </w:tc>
      <w:tc>
        <w:tcPr>
          <w:tcW w:w="2453" w:type="pct"/>
        </w:tcPr>
        <w:p w:rsidR="00EC379B" w:rsidRDefault="00E34A35" w:rsidP="006D504F">
          <w:pPr>
            <w:pStyle w:val="Footer"/>
            <w:rPr>
              <w:rStyle w:val="PageNumber"/>
            </w:rPr>
          </w:pPr>
        </w:p>
        <w:p w:rsidR="00EC379B" w:rsidRDefault="00E34A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B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4A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34A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4A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4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A35">
      <w:r>
        <w:separator/>
      </w:r>
    </w:p>
  </w:footnote>
  <w:footnote w:type="continuationSeparator" w:id="0">
    <w:p w:rsidR="00000000" w:rsidRDefault="00E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4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4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17"/>
    <w:multiLevelType w:val="hybridMultilevel"/>
    <w:tmpl w:val="3536D162"/>
    <w:lvl w:ilvl="0" w:tplc="950C885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FC01E3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86F04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B9838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9DEB63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BCA2B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22E75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CC4280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70AF8F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0D7317"/>
    <w:multiLevelType w:val="hybridMultilevel"/>
    <w:tmpl w:val="04B6F746"/>
    <w:lvl w:ilvl="0" w:tplc="B3F8C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1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2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2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EF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04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43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7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8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19"/>
    <w:rsid w:val="00C63B19"/>
    <w:rsid w:val="00E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C436E0-E6D7-4532-ABB7-AAA45C3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4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B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B39"/>
    <w:rPr>
      <w:b/>
      <w:bCs/>
    </w:rPr>
  </w:style>
  <w:style w:type="character" w:styleId="Hyperlink">
    <w:name w:val="Hyperlink"/>
    <w:basedOn w:val="DefaultParagraphFont"/>
    <w:unhideWhenUsed/>
    <w:rsid w:val="00B55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B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A2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2911</Characters>
  <Application>Microsoft Office Word</Application>
  <DocSecurity>4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HB04205 (Committee Report (Substituted))</vt:lpstr>
    </vt:vector>
  </TitlesOfParts>
  <Company>State of Texas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27353</dc:subject>
  <dc:creator>State of Texas</dc:creator>
  <dc:description>HB 4205 by Craddick-(H)Public Education (Substitute Document Number: 86R 26035)</dc:description>
  <cp:lastModifiedBy>Laura Ramsay</cp:lastModifiedBy>
  <cp:revision>2</cp:revision>
  <cp:lastPrinted>2003-11-26T17:21:00Z</cp:lastPrinted>
  <dcterms:created xsi:type="dcterms:W3CDTF">2019-04-16T22:06:00Z</dcterms:created>
  <dcterms:modified xsi:type="dcterms:W3CDTF">2019-04-16T22:06:00Z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19.105.1124</vt:lpwstr>
  </property>
</Properties>
</file>