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A2AA7" w:rsidTr="00345119">
        <w:tc>
          <w:tcPr>
            <w:tcW w:w="9576" w:type="dxa"/>
            <w:noWrap/>
          </w:tcPr>
          <w:p w:rsidR="008423E4" w:rsidRPr="0022177D" w:rsidRDefault="0029033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90335" w:rsidP="008423E4">
      <w:pPr>
        <w:jc w:val="center"/>
      </w:pPr>
    </w:p>
    <w:p w:rsidR="008423E4" w:rsidRPr="00B31F0E" w:rsidRDefault="00290335" w:rsidP="008423E4"/>
    <w:p w:rsidR="008423E4" w:rsidRPr="00742794" w:rsidRDefault="0029033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A2AA7" w:rsidTr="00345119">
        <w:tc>
          <w:tcPr>
            <w:tcW w:w="9576" w:type="dxa"/>
          </w:tcPr>
          <w:p w:rsidR="008423E4" w:rsidRPr="00861995" w:rsidRDefault="00290335" w:rsidP="00345119">
            <w:pPr>
              <w:jc w:val="right"/>
            </w:pPr>
            <w:r>
              <w:t>C.S.H.B. 4267</w:t>
            </w:r>
          </w:p>
        </w:tc>
      </w:tr>
      <w:tr w:rsidR="006A2AA7" w:rsidTr="00345119">
        <w:tc>
          <w:tcPr>
            <w:tcW w:w="9576" w:type="dxa"/>
          </w:tcPr>
          <w:p w:rsidR="008423E4" w:rsidRPr="00861995" w:rsidRDefault="00290335" w:rsidP="00EE56C1">
            <w:pPr>
              <w:jc w:val="right"/>
            </w:pPr>
            <w:r>
              <w:t xml:space="preserve">By: </w:t>
            </w:r>
            <w:r>
              <w:t>Wu</w:t>
            </w:r>
          </w:p>
        </w:tc>
      </w:tr>
      <w:tr w:rsidR="006A2AA7" w:rsidTr="00345119">
        <w:tc>
          <w:tcPr>
            <w:tcW w:w="9576" w:type="dxa"/>
          </w:tcPr>
          <w:p w:rsidR="008423E4" w:rsidRPr="00861995" w:rsidRDefault="00290335" w:rsidP="00345119">
            <w:pPr>
              <w:jc w:val="right"/>
            </w:pPr>
            <w:r>
              <w:t>Juvenile Justice &amp; Family Issues</w:t>
            </w:r>
          </w:p>
        </w:tc>
      </w:tr>
      <w:tr w:rsidR="006A2AA7" w:rsidTr="00345119">
        <w:tc>
          <w:tcPr>
            <w:tcW w:w="9576" w:type="dxa"/>
          </w:tcPr>
          <w:p w:rsidR="008423E4" w:rsidRDefault="00290335" w:rsidP="009407A2">
            <w:pPr>
              <w:jc w:val="right"/>
            </w:pPr>
            <w:r>
              <w:t>Committee Report (Substituted)</w:t>
            </w:r>
          </w:p>
        </w:tc>
      </w:tr>
    </w:tbl>
    <w:p w:rsidR="008423E4" w:rsidRDefault="00290335" w:rsidP="008423E4">
      <w:pPr>
        <w:tabs>
          <w:tab w:val="right" w:pos="9360"/>
        </w:tabs>
      </w:pPr>
    </w:p>
    <w:p w:rsidR="008423E4" w:rsidRDefault="00290335" w:rsidP="008423E4"/>
    <w:p w:rsidR="008423E4" w:rsidRDefault="0029033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A2AA7" w:rsidTr="00345119">
        <w:tc>
          <w:tcPr>
            <w:tcW w:w="9576" w:type="dxa"/>
          </w:tcPr>
          <w:p w:rsidR="008423E4" w:rsidRPr="00A8133F" w:rsidRDefault="00290335" w:rsidP="00E227C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90335" w:rsidP="00E227C3"/>
          <w:p w:rsidR="008423E4" w:rsidRDefault="00290335" w:rsidP="00E227C3">
            <w:pPr>
              <w:pStyle w:val="Header"/>
              <w:jc w:val="both"/>
            </w:pPr>
            <w:r>
              <w:t xml:space="preserve">Concerns have been raised </w:t>
            </w:r>
            <w:r>
              <w:t xml:space="preserve">about </w:t>
            </w:r>
            <w:r>
              <w:t>the</w:t>
            </w:r>
            <w:r>
              <w:t xml:space="preserve"> widespread </w:t>
            </w:r>
            <w:r>
              <w:t xml:space="preserve">use of </w:t>
            </w:r>
            <w:r>
              <w:t>mechanical or physical restraint</w:t>
            </w:r>
            <w:r>
              <w:t>s</w:t>
            </w:r>
            <w:r>
              <w:t xml:space="preserve"> </w:t>
            </w:r>
            <w:r>
              <w:t>on child</w:t>
            </w:r>
            <w:r>
              <w:t>ren</w:t>
            </w:r>
            <w:r>
              <w:t xml:space="preserve"> in juvenile court</w:t>
            </w:r>
            <w:r>
              <w:t xml:space="preserve">, and it has been </w:t>
            </w:r>
            <w:r>
              <w:t>argued</w:t>
            </w:r>
            <w:r>
              <w:t xml:space="preserve"> that such use</w:t>
            </w:r>
            <w:r>
              <w:t xml:space="preserve"> </w:t>
            </w:r>
            <w:r>
              <w:t>is often</w:t>
            </w:r>
            <w:r>
              <w:t xml:space="preserve"> unnecessary</w:t>
            </w:r>
            <w:r>
              <w:t xml:space="preserve"> </w:t>
            </w:r>
            <w:r>
              <w:t xml:space="preserve">and may </w:t>
            </w:r>
            <w:r>
              <w:t>put</w:t>
            </w:r>
            <w:r>
              <w:t xml:space="preserve"> the child</w:t>
            </w:r>
            <w:r>
              <w:t xml:space="preserve"> at </w:t>
            </w:r>
            <w:r>
              <w:t xml:space="preserve">numerous </w:t>
            </w:r>
            <w:r>
              <w:t>disadvantage</w:t>
            </w:r>
            <w:r>
              <w:t>s</w:t>
            </w:r>
            <w:r>
              <w:t xml:space="preserve">. </w:t>
            </w:r>
            <w:r>
              <w:t xml:space="preserve">There are also concerns </w:t>
            </w:r>
            <w:r>
              <w:t xml:space="preserve">that </w:t>
            </w:r>
            <w:r>
              <w:t xml:space="preserve">requiring a child to wear </w:t>
            </w:r>
            <w:r>
              <w:t xml:space="preserve">the child's </w:t>
            </w:r>
            <w:r>
              <w:t xml:space="preserve">correctional uniform </w:t>
            </w:r>
            <w:r>
              <w:t>to court could</w:t>
            </w:r>
            <w:r>
              <w:t xml:space="preserve"> lead to </w:t>
            </w:r>
            <w:r>
              <w:t>bias that</w:t>
            </w:r>
            <w:r>
              <w:t xml:space="preserve"> viola</w:t>
            </w:r>
            <w:r>
              <w:t>tes the presumption o</w:t>
            </w:r>
            <w:r>
              <w:t>f innocenc</w:t>
            </w:r>
            <w:r>
              <w:t>e</w:t>
            </w:r>
            <w:r>
              <w:t>.</w:t>
            </w:r>
            <w:r>
              <w:t xml:space="preserve">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4267 </w:t>
            </w:r>
            <w:r>
              <w:t xml:space="preserve">seeks to address these concerns by </w:t>
            </w:r>
            <w:r>
              <w:t>restrict</w:t>
            </w:r>
            <w:r>
              <w:t>ing</w:t>
            </w:r>
            <w:r>
              <w:t xml:space="preserve"> the use of restraints in juvenile court</w:t>
            </w:r>
            <w:r>
              <w:t xml:space="preserve"> and ensuring</w:t>
            </w:r>
            <w:r>
              <w:t>, subject to certain conditions,</w:t>
            </w:r>
            <w:r>
              <w:t xml:space="preserve"> that a child is permitted to wear clothing other than a correctional uniform during a judicial proceeding</w:t>
            </w:r>
            <w:r>
              <w:t>.</w:t>
            </w:r>
          </w:p>
          <w:p w:rsidR="008423E4" w:rsidRPr="00E26B13" w:rsidRDefault="00290335" w:rsidP="00E227C3">
            <w:pPr>
              <w:rPr>
                <w:b/>
              </w:rPr>
            </w:pPr>
          </w:p>
        </w:tc>
      </w:tr>
      <w:tr w:rsidR="006A2AA7" w:rsidTr="00345119">
        <w:tc>
          <w:tcPr>
            <w:tcW w:w="9576" w:type="dxa"/>
          </w:tcPr>
          <w:p w:rsidR="0017725B" w:rsidRDefault="00290335" w:rsidP="00E227C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90335" w:rsidP="00E227C3">
            <w:pPr>
              <w:rPr>
                <w:b/>
                <w:u w:val="single"/>
              </w:rPr>
            </w:pPr>
          </w:p>
          <w:p w:rsidR="00AD59FC" w:rsidRPr="00AD59FC" w:rsidRDefault="00290335" w:rsidP="00E227C3">
            <w:pPr>
              <w:jc w:val="both"/>
            </w:pPr>
            <w:r>
              <w:t>It is the committee's opinion that this bill does not expressly create a criminal offense, increase the punishment for an</w:t>
            </w:r>
            <w:r>
              <w:t xml:space="preserve"> existing criminal offense or category of offenses, or change the eligibility of a person for community supervision, parole, or mandatory supervision.</w:t>
            </w:r>
          </w:p>
          <w:p w:rsidR="0017725B" w:rsidRPr="0017725B" w:rsidRDefault="00290335" w:rsidP="00E227C3">
            <w:pPr>
              <w:rPr>
                <w:b/>
                <w:u w:val="single"/>
              </w:rPr>
            </w:pPr>
          </w:p>
        </w:tc>
      </w:tr>
      <w:tr w:rsidR="006A2AA7" w:rsidTr="00345119">
        <w:tc>
          <w:tcPr>
            <w:tcW w:w="9576" w:type="dxa"/>
          </w:tcPr>
          <w:p w:rsidR="008423E4" w:rsidRPr="00A8133F" w:rsidRDefault="00290335" w:rsidP="00E227C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90335" w:rsidP="00E227C3"/>
          <w:p w:rsidR="00AD59FC" w:rsidRDefault="00290335" w:rsidP="00E227C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</w:t>
            </w:r>
            <w:r>
              <w:t>onal rulemaking authority to a state officer, department, agency, or institution.</w:t>
            </w:r>
          </w:p>
          <w:p w:rsidR="008423E4" w:rsidRPr="00E21FDC" w:rsidRDefault="00290335" w:rsidP="00E227C3">
            <w:pPr>
              <w:rPr>
                <w:b/>
              </w:rPr>
            </w:pPr>
          </w:p>
        </w:tc>
      </w:tr>
      <w:tr w:rsidR="006A2AA7" w:rsidTr="00345119">
        <w:tc>
          <w:tcPr>
            <w:tcW w:w="9576" w:type="dxa"/>
          </w:tcPr>
          <w:p w:rsidR="008423E4" w:rsidRPr="00A8133F" w:rsidRDefault="00290335" w:rsidP="00E227C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90335" w:rsidP="00E227C3"/>
          <w:p w:rsidR="00B50073" w:rsidRDefault="00290335" w:rsidP="00E227C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4267 amends the Family Code to prohibit</w:t>
            </w:r>
            <w:r>
              <w:t xml:space="preserve"> the use of</w:t>
            </w:r>
            <w:r>
              <w:t xml:space="preserve"> a mechanical or physical restraint on a child during a judicial proceeding</w:t>
            </w:r>
            <w:r>
              <w:t xml:space="preserve"> and to</w:t>
            </w:r>
            <w:r>
              <w:t xml:space="preserve"> require </w:t>
            </w:r>
            <w:r>
              <w:t>the removal</w:t>
            </w:r>
            <w:r>
              <w:t xml:space="preserve"> of any </w:t>
            </w:r>
            <w:r>
              <w:t xml:space="preserve">restraint before </w:t>
            </w:r>
            <w:r>
              <w:t>the</w:t>
            </w:r>
            <w:r>
              <w:t xml:space="preserve"> child's appearance before </w:t>
            </w:r>
            <w:r>
              <w:t>the</w:t>
            </w:r>
            <w:r>
              <w:t xml:space="preserve"> court unless the court finds </w:t>
            </w:r>
            <w:r>
              <w:t>that</w:t>
            </w:r>
            <w:r>
              <w:t>:</w:t>
            </w:r>
          </w:p>
          <w:p w:rsidR="00B50073" w:rsidRDefault="00290335" w:rsidP="00E227C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the use of a mechanical or physical restraint is necessary to prevent physical injury to the child or another or because the child has a history of disruptive cou</w:t>
            </w:r>
            <w:r>
              <w:t xml:space="preserve">rtroom behavior that has placed others in potentially harmful situations; and </w:t>
            </w:r>
          </w:p>
          <w:p w:rsidR="00D63AE6" w:rsidRDefault="00290335" w:rsidP="00E227C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the</w:t>
            </w:r>
            <w:r>
              <w:t xml:space="preserve"> </w:t>
            </w:r>
            <w:r w:rsidRPr="00D63AE6">
              <w:t>mechanical or physical</w:t>
            </w:r>
            <w:r>
              <w:t xml:space="preserve"> restraint used is the least restrictive restraint effective to prevent physical injury to the child or another or the child's escape. </w:t>
            </w:r>
          </w:p>
          <w:p w:rsidR="004000B2" w:rsidRDefault="00290335" w:rsidP="00E227C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1F606A" w:rsidRDefault="00290335" w:rsidP="00E227C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4267</w:t>
            </w:r>
            <w:r>
              <w:t xml:space="preserve"> </w:t>
            </w:r>
            <w:r>
              <w:t xml:space="preserve">requires the court to provide the child's attorney an opportunity to be heard before the court may order the use of a mechanical or physical restraint and </w:t>
            </w:r>
            <w:r>
              <w:t xml:space="preserve">requires </w:t>
            </w:r>
            <w:r>
              <w:t>a</w:t>
            </w:r>
            <w:r>
              <w:t xml:space="preserve"> court </w:t>
            </w:r>
            <w:r>
              <w:t xml:space="preserve">that orders use of a restraint </w:t>
            </w:r>
            <w:r>
              <w:t xml:space="preserve">to make findings of fact in support of the order. </w:t>
            </w:r>
          </w:p>
          <w:p w:rsidR="001F606A" w:rsidRDefault="00290335" w:rsidP="00E227C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290335" w:rsidP="00E227C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4267</w:t>
            </w:r>
            <w:r>
              <w:t xml:space="preserve"> requires a court to permit a child </w:t>
            </w:r>
            <w:r w:rsidRPr="00D63AE6">
              <w:t xml:space="preserve">during a judicial proceeding </w:t>
            </w:r>
            <w:r>
              <w:t>to wear clothing other than a uniform provided by a detention or correctional facility</w:t>
            </w:r>
            <w:r>
              <w:t xml:space="preserve"> if the child's attorney requests the court's permission for the child to wear other clothin</w:t>
            </w:r>
            <w:r>
              <w:t xml:space="preserve">g and the child's attorney or family member provides the child with appropriate clothing. The bill authorizes the court to deny </w:t>
            </w:r>
            <w:r>
              <w:t xml:space="preserve">such a request </w:t>
            </w:r>
            <w:r>
              <w:t>only if the court finds that granting the request would present a substantial risk of the child's flight from the</w:t>
            </w:r>
            <w:r>
              <w:t xml:space="preserve"> courtroom or a safety risk to the child or another person. </w:t>
            </w:r>
          </w:p>
          <w:p w:rsidR="008423E4" w:rsidRPr="00835628" w:rsidRDefault="00290335" w:rsidP="00E227C3">
            <w:pPr>
              <w:rPr>
                <w:b/>
              </w:rPr>
            </w:pPr>
          </w:p>
        </w:tc>
      </w:tr>
      <w:tr w:rsidR="006A2AA7" w:rsidTr="00345119">
        <w:tc>
          <w:tcPr>
            <w:tcW w:w="9576" w:type="dxa"/>
          </w:tcPr>
          <w:p w:rsidR="008423E4" w:rsidRPr="00A8133F" w:rsidRDefault="00290335" w:rsidP="00E227C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90335" w:rsidP="00E227C3"/>
          <w:p w:rsidR="008423E4" w:rsidRPr="003624F2" w:rsidRDefault="00290335" w:rsidP="00E227C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290335" w:rsidP="00E227C3">
            <w:pPr>
              <w:rPr>
                <w:b/>
              </w:rPr>
            </w:pPr>
          </w:p>
        </w:tc>
      </w:tr>
      <w:tr w:rsidR="006A2AA7" w:rsidTr="00345119">
        <w:tc>
          <w:tcPr>
            <w:tcW w:w="9576" w:type="dxa"/>
          </w:tcPr>
          <w:p w:rsidR="00EE56C1" w:rsidRDefault="00290335" w:rsidP="00E227C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C376E7" w:rsidRDefault="00290335" w:rsidP="00E227C3">
            <w:pPr>
              <w:jc w:val="both"/>
            </w:pPr>
          </w:p>
          <w:p w:rsidR="00C376E7" w:rsidRDefault="00290335" w:rsidP="00E227C3">
            <w:pPr>
              <w:jc w:val="both"/>
            </w:pPr>
            <w:r>
              <w:t>While C.S.H.B. 4267 may differ from the original in minor or nonsubstantive ways, the following summarizes the subs</w:t>
            </w:r>
            <w:r>
              <w:t>tantial differences between the introduced and committee substitute versions of the bill.</w:t>
            </w:r>
          </w:p>
          <w:p w:rsidR="00C376E7" w:rsidRDefault="00290335" w:rsidP="00E227C3">
            <w:pPr>
              <w:jc w:val="both"/>
            </w:pPr>
          </w:p>
          <w:p w:rsidR="00544BAD" w:rsidRDefault="00290335" w:rsidP="00E227C3">
            <w:pPr>
              <w:jc w:val="both"/>
            </w:pPr>
            <w:r>
              <w:t xml:space="preserve">The substitute adds </w:t>
            </w:r>
            <w:r>
              <w:t xml:space="preserve">certain </w:t>
            </w:r>
            <w:r>
              <w:t xml:space="preserve">conditions </w:t>
            </w:r>
            <w:r>
              <w:t>under which</w:t>
            </w:r>
            <w:r>
              <w:t xml:space="preserve"> a court</w:t>
            </w:r>
            <w:r>
              <w:t xml:space="preserve"> is required</w:t>
            </w:r>
            <w:r>
              <w:t xml:space="preserve"> to permit a child to wear clothing other than a uniform provided by a detention or correctiona</w:t>
            </w:r>
            <w:r>
              <w:t xml:space="preserve">l facility. </w:t>
            </w:r>
          </w:p>
          <w:p w:rsidR="00544BAD" w:rsidRDefault="00290335" w:rsidP="00E227C3">
            <w:pPr>
              <w:jc w:val="both"/>
            </w:pPr>
          </w:p>
          <w:p w:rsidR="00544BAD" w:rsidRDefault="00290335" w:rsidP="00E227C3">
            <w:pPr>
              <w:jc w:val="both"/>
            </w:pPr>
            <w:r w:rsidRPr="00544BAD">
              <w:t xml:space="preserve">The substitute includes </w:t>
            </w:r>
            <w:r>
              <w:t>an authorization for</w:t>
            </w:r>
            <w:r w:rsidRPr="00544BAD">
              <w:t xml:space="preserve"> </w:t>
            </w:r>
            <w:r>
              <w:t>the</w:t>
            </w:r>
            <w:r w:rsidRPr="00544BAD">
              <w:t xml:space="preserve"> </w:t>
            </w:r>
            <w:r w:rsidRPr="00544BAD">
              <w:t>court to deny an attorney's request</w:t>
            </w:r>
            <w:r>
              <w:t xml:space="preserve"> for a child to wear clothing other than a uniform </w:t>
            </w:r>
            <w:r>
              <w:t xml:space="preserve">under </w:t>
            </w:r>
            <w:r>
              <w:t xml:space="preserve">certain conditions. </w:t>
            </w:r>
          </w:p>
          <w:p w:rsidR="00544BAD" w:rsidRDefault="00290335" w:rsidP="00E227C3">
            <w:pPr>
              <w:jc w:val="both"/>
            </w:pPr>
          </w:p>
          <w:p w:rsidR="00544BAD" w:rsidRDefault="00290335" w:rsidP="00E227C3">
            <w:pPr>
              <w:jc w:val="both"/>
            </w:pPr>
            <w:r>
              <w:t xml:space="preserve">The substitute does not include a </w:t>
            </w:r>
            <w:r>
              <w:t>requirement for</w:t>
            </w:r>
            <w:r>
              <w:t xml:space="preserve"> </w:t>
            </w:r>
            <w:r>
              <w:t xml:space="preserve">the </w:t>
            </w:r>
            <w:r>
              <w:t xml:space="preserve">court to provide </w:t>
            </w:r>
            <w:r>
              <w:t xml:space="preserve">the </w:t>
            </w:r>
            <w:r>
              <w:t>chil</w:t>
            </w:r>
            <w:r>
              <w:t>d with appropriate clothing if the child does not have access to any clothing other than a uniform at the time of the proceeding.</w:t>
            </w:r>
          </w:p>
          <w:p w:rsidR="00544BAD" w:rsidRDefault="00290335" w:rsidP="00E227C3">
            <w:pPr>
              <w:jc w:val="both"/>
            </w:pPr>
          </w:p>
          <w:p w:rsidR="00544BAD" w:rsidRDefault="00290335" w:rsidP="00E227C3">
            <w:pPr>
              <w:jc w:val="both"/>
            </w:pPr>
          </w:p>
          <w:p w:rsidR="00C376E7" w:rsidRPr="00C376E7" w:rsidRDefault="00290335" w:rsidP="00E227C3">
            <w:pPr>
              <w:jc w:val="both"/>
            </w:pPr>
          </w:p>
        </w:tc>
      </w:tr>
    </w:tbl>
    <w:p w:rsidR="008423E4" w:rsidRPr="00BE0E75" w:rsidRDefault="0029033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90335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90335">
      <w:r>
        <w:separator/>
      </w:r>
    </w:p>
  </w:endnote>
  <w:endnote w:type="continuationSeparator" w:id="0">
    <w:p w:rsidR="00000000" w:rsidRDefault="00290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4D5" w:rsidRDefault="002903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A2AA7" w:rsidTr="009C1E9A">
      <w:trPr>
        <w:cantSplit/>
      </w:trPr>
      <w:tc>
        <w:tcPr>
          <w:tcW w:w="0" w:type="pct"/>
        </w:tcPr>
        <w:p w:rsidR="00137D90" w:rsidRDefault="0029033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9033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9033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A2AA7" w:rsidTr="009C1E9A">
      <w:trPr>
        <w:cantSplit/>
      </w:trPr>
      <w:tc>
        <w:tcPr>
          <w:tcW w:w="0" w:type="pct"/>
        </w:tcPr>
        <w:p w:rsidR="00EC379B" w:rsidRDefault="0029033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9033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31876</w:t>
          </w:r>
        </w:p>
      </w:tc>
      <w:tc>
        <w:tcPr>
          <w:tcW w:w="2453" w:type="pct"/>
        </w:tcPr>
        <w:p w:rsidR="00EC379B" w:rsidRDefault="0029033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19.123.1360</w:t>
          </w:r>
          <w:r>
            <w:fldChar w:fldCharType="end"/>
          </w:r>
        </w:p>
      </w:tc>
    </w:tr>
    <w:tr w:rsidR="006A2AA7" w:rsidTr="009C1E9A">
      <w:trPr>
        <w:cantSplit/>
      </w:trPr>
      <w:tc>
        <w:tcPr>
          <w:tcW w:w="0" w:type="pct"/>
        </w:tcPr>
        <w:p w:rsidR="00EC379B" w:rsidRDefault="0029033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9033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28020</w:t>
          </w:r>
        </w:p>
      </w:tc>
      <w:tc>
        <w:tcPr>
          <w:tcW w:w="2453" w:type="pct"/>
        </w:tcPr>
        <w:p w:rsidR="00EC379B" w:rsidRDefault="00290335" w:rsidP="006D504F">
          <w:pPr>
            <w:pStyle w:val="Footer"/>
            <w:rPr>
              <w:rStyle w:val="PageNumber"/>
            </w:rPr>
          </w:pPr>
        </w:p>
        <w:p w:rsidR="00EC379B" w:rsidRDefault="0029033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A2AA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9033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29033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9033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4D5" w:rsidRDefault="002903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90335">
      <w:r>
        <w:separator/>
      </w:r>
    </w:p>
  </w:footnote>
  <w:footnote w:type="continuationSeparator" w:id="0">
    <w:p w:rsidR="00000000" w:rsidRDefault="00290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4D5" w:rsidRDefault="002903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4D5" w:rsidRDefault="002903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4D5" w:rsidRDefault="002903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A1BA2"/>
    <w:multiLevelType w:val="hybridMultilevel"/>
    <w:tmpl w:val="ADDA1686"/>
    <w:lvl w:ilvl="0" w:tplc="696CE1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2AFE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E69A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F883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A830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6440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8434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A634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DCF6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A7"/>
    <w:rsid w:val="00290335"/>
    <w:rsid w:val="006A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8D45FD-52C5-4D04-B561-8D30A5B1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530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530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5308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53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530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2998</Characters>
  <Application>Microsoft Office Word</Application>
  <DocSecurity>4</DocSecurity>
  <Lines>77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HB04267 (Committee Report (Substituted))</vt:lpstr>
    </vt:vector>
  </TitlesOfParts>
  <Company>State of Texas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31876</dc:subject>
  <dc:creator>State of Texas</dc:creator>
  <dc:description>HB 4267 by Wu-(H)Juvenile Justice &amp; Family Issues (Substitute Document Number: 86R 28020)</dc:description>
  <cp:lastModifiedBy>Scotty Wimberley</cp:lastModifiedBy>
  <cp:revision>2</cp:revision>
  <cp:lastPrinted>2003-11-26T17:21:00Z</cp:lastPrinted>
  <dcterms:created xsi:type="dcterms:W3CDTF">2019-05-09T17:53:00Z</dcterms:created>
  <dcterms:modified xsi:type="dcterms:W3CDTF">2019-05-09T17:53:00Z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19.123.1360</vt:lpwstr>
  </property>
</Properties>
</file>