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F1" w:rsidRDefault="00422638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2FD3" w:rsidTr="00345119">
        <w:tc>
          <w:tcPr>
            <w:tcW w:w="9576" w:type="dxa"/>
            <w:noWrap/>
          </w:tcPr>
          <w:p w:rsidR="008423E4" w:rsidRPr="0022177D" w:rsidRDefault="00422638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422638" w:rsidP="008423E4">
      <w:pPr>
        <w:jc w:val="center"/>
      </w:pPr>
    </w:p>
    <w:p w:rsidR="008423E4" w:rsidRPr="00B31F0E" w:rsidRDefault="00422638" w:rsidP="008423E4"/>
    <w:p w:rsidR="008423E4" w:rsidRPr="00742794" w:rsidRDefault="004226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2FD3" w:rsidTr="00345119">
        <w:tc>
          <w:tcPr>
            <w:tcW w:w="9576" w:type="dxa"/>
          </w:tcPr>
          <w:p w:rsidR="008423E4" w:rsidRPr="00861995" w:rsidRDefault="00422638" w:rsidP="00345119">
            <w:pPr>
              <w:jc w:val="right"/>
            </w:pPr>
            <w:r>
              <w:t>H.B. 4287</w:t>
            </w:r>
          </w:p>
        </w:tc>
      </w:tr>
      <w:tr w:rsidR="009A2FD3" w:rsidTr="00345119">
        <w:tc>
          <w:tcPr>
            <w:tcW w:w="9576" w:type="dxa"/>
          </w:tcPr>
          <w:p w:rsidR="008423E4" w:rsidRPr="00861995" w:rsidRDefault="00422638" w:rsidP="0038543B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9A2FD3" w:rsidTr="00345119">
        <w:tc>
          <w:tcPr>
            <w:tcW w:w="9576" w:type="dxa"/>
          </w:tcPr>
          <w:p w:rsidR="008423E4" w:rsidRPr="00861995" w:rsidRDefault="00422638" w:rsidP="00345119">
            <w:pPr>
              <w:jc w:val="right"/>
            </w:pPr>
            <w:r>
              <w:t>Criminal Jurisprudence</w:t>
            </w:r>
          </w:p>
        </w:tc>
      </w:tr>
      <w:tr w:rsidR="009A2FD3" w:rsidTr="00345119">
        <w:tc>
          <w:tcPr>
            <w:tcW w:w="9576" w:type="dxa"/>
          </w:tcPr>
          <w:p w:rsidR="008423E4" w:rsidRDefault="0042263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2638" w:rsidP="008423E4">
      <w:pPr>
        <w:tabs>
          <w:tab w:val="right" w:pos="9360"/>
        </w:tabs>
      </w:pPr>
    </w:p>
    <w:p w:rsidR="008423E4" w:rsidRDefault="00422638" w:rsidP="008423E4"/>
    <w:p w:rsidR="008423E4" w:rsidRDefault="004226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2FD3" w:rsidTr="00345119">
        <w:tc>
          <w:tcPr>
            <w:tcW w:w="9576" w:type="dxa"/>
          </w:tcPr>
          <w:p w:rsidR="008423E4" w:rsidRPr="00A8133F" w:rsidRDefault="00422638" w:rsidP="00770C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2638" w:rsidP="00770C67"/>
          <w:p w:rsidR="008423E4" w:rsidRDefault="00422638" w:rsidP="00770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eligibility </w:t>
            </w:r>
            <w:r>
              <w:t>for various types of community supervision of</w:t>
            </w:r>
            <w:r>
              <w:t xml:space="preserve"> defendants </w:t>
            </w:r>
            <w:r>
              <w:t>charged with</w:t>
            </w:r>
            <w:r>
              <w:t xml:space="preserve"> particularly heinous crimes related to sex trafficking</w:t>
            </w:r>
            <w:r>
              <w:t>, such as aggravated promotion of prostitution, continuous trafficking of persons, and sexual performance by a child</w:t>
            </w:r>
            <w:r>
              <w:t xml:space="preserve">. H.B. 4287 seeks to address this issue by making </w:t>
            </w:r>
            <w:r>
              <w:t>certain</w:t>
            </w:r>
            <w:r>
              <w:t xml:space="preserve"> offenders ineligible for </w:t>
            </w:r>
            <w:r>
              <w:t>su</w:t>
            </w:r>
            <w:r>
              <w:t>ch release</w:t>
            </w:r>
            <w:r w:rsidRPr="006155A0">
              <w:t>.</w:t>
            </w:r>
          </w:p>
          <w:p w:rsidR="008423E4" w:rsidRPr="00E26B13" w:rsidRDefault="00422638" w:rsidP="00770C67">
            <w:pPr>
              <w:rPr>
                <w:b/>
              </w:rPr>
            </w:pPr>
          </w:p>
        </w:tc>
      </w:tr>
      <w:tr w:rsidR="009A2FD3" w:rsidTr="00345119">
        <w:tc>
          <w:tcPr>
            <w:tcW w:w="9576" w:type="dxa"/>
          </w:tcPr>
          <w:p w:rsidR="0017725B" w:rsidRDefault="00422638" w:rsidP="00770C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2638" w:rsidP="00770C67">
            <w:pPr>
              <w:rPr>
                <w:b/>
                <w:u w:val="single"/>
              </w:rPr>
            </w:pPr>
          </w:p>
          <w:p w:rsidR="004924DD" w:rsidRPr="004924DD" w:rsidRDefault="00422638" w:rsidP="00770C67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for community su</w:t>
            </w:r>
            <w:r>
              <w:t>pervision, parole, or mandatory supervision.</w:t>
            </w:r>
          </w:p>
          <w:p w:rsidR="0017725B" w:rsidRPr="0017725B" w:rsidRDefault="00422638" w:rsidP="00770C67">
            <w:pPr>
              <w:rPr>
                <w:b/>
                <w:u w:val="single"/>
              </w:rPr>
            </w:pPr>
          </w:p>
        </w:tc>
      </w:tr>
      <w:tr w:rsidR="009A2FD3" w:rsidTr="00345119">
        <w:tc>
          <w:tcPr>
            <w:tcW w:w="9576" w:type="dxa"/>
          </w:tcPr>
          <w:p w:rsidR="008423E4" w:rsidRPr="00A8133F" w:rsidRDefault="00422638" w:rsidP="00770C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2638" w:rsidP="00770C67"/>
          <w:p w:rsidR="004924DD" w:rsidRDefault="00422638" w:rsidP="00770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22638" w:rsidP="00770C67">
            <w:pPr>
              <w:rPr>
                <w:b/>
              </w:rPr>
            </w:pPr>
          </w:p>
        </w:tc>
      </w:tr>
      <w:tr w:rsidR="009A2FD3" w:rsidTr="00345119">
        <w:tc>
          <w:tcPr>
            <w:tcW w:w="9576" w:type="dxa"/>
          </w:tcPr>
          <w:p w:rsidR="008423E4" w:rsidRPr="00A8133F" w:rsidRDefault="00422638" w:rsidP="00770C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2638" w:rsidP="00770C67"/>
          <w:p w:rsidR="008267EE" w:rsidRDefault="00422638" w:rsidP="00770C6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H.B. 4287 </w:t>
            </w:r>
            <w:r>
              <w:t>amends the Code of Criminal Procedure to include</w:t>
            </w:r>
            <w:r>
              <w:t xml:space="preserve"> among the offenses for which a judge is prohibited from ordering community supervision</w:t>
            </w:r>
            <w:r>
              <w:t xml:space="preserve"> </w:t>
            </w:r>
            <w:r>
              <w:t>and for which a person is ineligible for jury-recommended community supervision</w:t>
            </w:r>
            <w:r>
              <w:t xml:space="preserve"> the following offenses: </w:t>
            </w:r>
          </w:p>
          <w:p w:rsidR="008267EE" w:rsidRDefault="00422638" w:rsidP="00770C6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continuous traf</w:t>
            </w:r>
            <w:r>
              <w:t>ficking of persons</w:t>
            </w:r>
            <w:r>
              <w:t>;</w:t>
            </w:r>
            <w:r>
              <w:t xml:space="preserve"> </w:t>
            </w:r>
          </w:p>
          <w:p w:rsidR="008267EE" w:rsidRDefault="00422638" w:rsidP="00770C6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aggravated promotion of prostitution</w:t>
            </w:r>
            <w:r>
              <w:t>;</w:t>
            </w:r>
            <w:r>
              <w:t xml:space="preserve"> and </w:t>
            </w:r>
          </w:p>
          <w:p w:rsidR="008267EE" w:rsidRDefault="00422638" w:rsidP="00770C6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any </w:t>
            </w:r>
            <w:r>
              <w:t>indecency with a child</w:t>
            </w:r>
            <w:r>
              <w:t xml:space="preserve"> conduct</w:t>
            </w:r>
            <w:r>
              <w:t>.</w:t>
            </w:r>
          </w:p>
          <w:p w:rsidR="00594747" w:rsidRDefault="00422638" w:rsidP="00770C6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bill</w:t>
            </w:r>
            <w:r>
              <w:t xml:space="preserve"> </w:t>
            </w:r>
            <w:r>
              <w:t xml:space="preserve">removes </w:t>
            </w:r>
            <w:r>
              <w:t xml:space="preserve">a provision conditioning the ineligibility for </w:t>
            </w:r>
            <w:r>
              <w:t>jury-recommended</w:t>
            </w:r>
            <w:r>
              <w:t xml:space="preserve"> community supervision of a defendant convicted </w:t>
            </w:r>
            <w:r>
              <w:t>of indecency with a child</w:t>
            </w:r>
            <w:r>
              <w:t xml:space="preserve"> for certain conduct</w:t>
            </w:r>
            <w:r>
              <w:t>, sexual assault, or aggravated sexual assault</w:t>
            </w:r>
            <w:r>
              <w:t xml:space="preserve"> on</w:t>
            </w:r>
            <w:r>
              <w:t xml:space="preserve"> the victim of</w:t>
            </w:r>
            <w:r>
              <w:t xml:space="preserve"> such</w:t>
            </w:r>
            <w:r>
              <w:t xml:space="preserve"> </w:t>
            </w:r>
            <w:r>
              <w:t>an</w:t>
            </w:r>
            <w:r>
              <w:t xml:space="preserve"> offense </w:t>
            </w:r>
            <w:r>
              <w:t>being</w:t>
            </w:r>
            <w:r>
              <w:t xml:space="preserve"> younger than 14 years of age at the time of the offense. The bill </w:t>
            </w:r>
            <w:r>
              <w:t>makes a defendant charged with the following offenses ineligible for</w:t>
            </w:r>
            <w:r>
              <w:t xml:space="preserve"> deferred adjudi</w:t>
            </w:r>
            <w:r>
              <w:t>cation community supervision</w:t>
            </w:r>
            <w:r>
              <w:t xml:space="preserve">: </w:t>
            </w:r>
          </w:p>
          <w:p w:rsidR="00594747" w:rsidRDefault="00422638" w:rsidP="00770C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trafficking of persons</w:t>
            </w:r>
            <w:r>
              <w:t xml:space="preserve">; </w:t>
            </w:r>
          </w:p>
          <w:p w:rsidR="00594747" w:rsidRDefault="00422638" w:rsidP="00770C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continuous trafficking of persons</w:t>
            </w:r>
            <w:r>
              <w:t xml:space="preserve">; </w:t>
            </w:r>
          </w:p>
          <w:p w:rsidR="00594747" w:rsidRDefault="00422638" w:rsidP="00770C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aggravated promotion of prostitution</w:t>
            </w:r>
            <w:r>
              <w:t xml:space="preserve">; </w:t>
            </w:r>
          </w:p>
          <w:p w:rsidR="00594747" w:rsidRDefault="00422638" w:rsidP="00770C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compelling prostitution</w:t>
            </w:r>
            <w:r>
              <w:t xml:space="preserve">; </w:t>
            </w:r>
            <w:r>
              <w:t xml:space="preserve">or </w:t>
            </w:r>
          </w:p>
          <w:p w:rsidR="00F32F7A" w:rsidRDefault="00422638" w:rsidP="00770C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sexual performance by a child. </w:t>
            </w:r>
          </w:p>
          <w:p w:rsidR="00D448B6" w:rsidRDefault="00422638" w:rsidP="00770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448B6" w:rsidRDefault="00422638" w:rsidP="00770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4287</w:t>
            </w:r>
            <w:r>
              <w:t xml:space="preserve"> amends the Health and Safety Cod</w:t>
            </w:r>
            <w:r>
              <w:t>e</w:t>
            </w:r>
            <w:r>
              <w:t xml:space="preserve"> to</w:t>
            </w:r>
            <w:r>
              <w:t xml:space="preserve"> </w:t>
            </w:r>
            <w:r>
              <w:t xml:space="preserve">make conforming </w:t>
            </w:r>
            <w:r>
              <w:t>changes</w:t>
            </w:r>
            <w:r>
              <w:t>.</w:t>
            </w:r>
            <w:r>
              <w:t xml:space="preserve">  </w:t>
            </w:r>
          </w:p>
          <w:p w:rsidR="008423E4" w:rsidRPr="00835628" w:rsidRDefault="00422638" w:rsidP="00770C67">
            <w:pPr>
              <w:rPr>
                <w:b/>
              </w:rPr>
            </w:pPr>
          </w:p>
        </w:tc>
      </w:tr>
      <w:tr w:rsidR="009A2FD3" w:rsidTr="00345119">
        <w:tc>
          <w:tcPr>
            <w:tcW w:w="9576" w:type="dxa"/>
          </w:tcPr>
          <w:p w:rsidR="008423E4" w:rsidRPr="00A8133F" w:rsidRDefault="00422638" w:rsidP="00770C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2638" w:rsidP="00770C67"/>
          <w:p w:rsidR="008423E4" w:rsidRPr="003624F2" w:rsidRDefault="00422638" w:rsidP="00770C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22638" w:rsidP="00770C67">
            <w:pPr>
              <w:rPr>
                <w:b/>
              </w:rPr>
            </w:pPr>
          </w:p>
        </w:tc>
      </w:tr>
    </w:tbl>
    <w:p w:rsidR="008423E4" w:rsidRPr="00BE0E75" w:rsidRDefault="004226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2263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638">
      <w:r>
        <w:separator/>
      </w:r>
    </w:p>
  </w:endnote>
  <w:endnote w:type="continuationSeparator" w:id="0">
    <w:p w:rsidR="00000000" w:rsidRDefault="0042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2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2FD3" w:rsidTr="009C1E9A">
      <w:trPr>
        <w:cantSplit/>
      </w:trPr>
      <w:tc>
        <w:tcPr>
          <w:tcW w:w="0" w:type="pct"/>
        </w:tcPr>
        <w:p w:rsidR="00137D90" w:rsidRDefault="004226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26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26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26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26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2FD3" w:rsidTr="009C1E9A">
      <w:trPr>
        <w:cantSplit/>
      </w:trPr>
      <w:tc>
        <w:tcPr>
          <w:tcW w:w="0" w:type="pct"/>
        </w:tcPr>
        <w:p w:rsidR="00EC379B" w:rsidRDefault="004226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26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26498</w:t>
          </w:r>
        </w:p>
      </w:tc>
      <w:tc>
        <w:tcPr>
          <w:tcW w:w="2453" w:type="pct"/>
        </w:tcPr>
        <w:p w:rsidR="00EC379B" w:rsidRDefault="004226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19.103.394</w:t>
          </w:r>
          <w:r>
            <w:fldChar w:fldCharType="end"/>
          </w:r>
        </w:p>
      </w:tc>
    </w:tr>
    <w:tr w:rsidR="009A2FD3" w:rsidTr="009C1E9A">
      <w:trPr>
        <w:cantSplit/>
      </w:trPr>
      <w:tc>
        <w:tcPr>
          <w:tcW w:w="0" w:type="pct"/>
        </w:tcPr>
        <w:p w:rsidR="00EC379B" w:rsidRDefault="004226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26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2638" w:rsidP="006D504F">
          <w:pPr>
            <w:pStyle w:val="Footer"/>
            <w:rPr>
              <w:rStyle w:val="PageNumber"/>
            </w:rPr>
          </w:pPr>
        </w:p>
        <w:p w:rsidR="00EC379B" w:rsidRDefault="004226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2F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26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226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26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638">
      <w:r>
        <w:separator/>
      </w:r>
    </w:p>
  </w:footnote>
  <w:footnote w:type="continuationSeparator" w:id="0">
    <w:p w:rsidR="00000000" w:rsidRDefault="0042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2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2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2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7E3"/>
    <w:multiLevelType w:val="hybridMultilevel"/>
    <w:tmpl w:val="78C481B4"/>
    <w:lvl w:ilvl="0" w:tplc="7AFEC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ECE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45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01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F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FE6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26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3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AF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5568"/>
    <w:multiLevelType w:val="hybridMultilevel"/>
    <w:tmpl w:val="7DCED16C"/>
    <w:lvl w:ilvl="0" w:tplc="D99E20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0745C2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ED099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784694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802D79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510125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19CA94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BA6A78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576697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3"/>
    <w:rsid w:val="00422638"/>
    <w:rsid w:val="009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E7F248-C57E-45B2-91D5-8B29684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7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B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1789</Characters>
  <Application>Microsoft Office Word</Application>
  <DocSecurity>4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HB04287 (Committee Report (Unamended))</vt:lpstr>
    </vt:vector>
  </TitlesOfParts>
  <Company>State of Texas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26498</dc:subject>
  <dc:creator>State of Texas</dc:creator>
  <dc:description>HB 4287 by Zedler-(H)Criminal Jurisprudence</dc:description>
  <cp:lastModifiedBy>Laura Ramsay</cp:lastModifiedBy>
  <cp:revision>2</cp:revision>
  <cp:lastPrinted>2003-11-26T17:21:00Z</cp:lastPrinted>
  <dcterms:created xsi:type="dcterms:W3CDTF">2019-05-02T22:39:00Z</dcterms:created>
  <dcterms:modified xsi:type="dcterms:W3CDTF">2019-05-02T22:39:00Z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19.103.394</vt:lpwstr>
  </property>
</Properties>
</file>