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24BE1" w:rsidTr="00345119">
        <w:tc>
          <w:tcPr>
            <w:tcW w:w="9576" w:type="dxa"/>
            <w:noWrap/>
          </w:tcPr>
          <w:p w:rsidR="008423E4" w:rsidRPr="0022177D" w:rsidRDefault="00460A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0A1A" w:rsidP="008423E4">
      <w:pPr>
        <w:jc w:val="center"/>
      </w:pPr>
    </w:p>
    <w:p w:rsidR="008423E4" w:rsidRPr="00B31F0E" w:rsidRDefault="00460A1A" w:rsidP="008423E4"/>
    <w:p w:rsidR="008423E4" w:rsidRPr="00742794" w:rsidRDefault="00460A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4BE1" w:rsidTr="00345119">
        <w:tc>
          <w:tcPr>
            <w:tcW w:w="9576" w:type="dxa"/>
          </w:tcPr>
          <w:p w:rsidR="008423E4" w:rsidRPr="00861995" w:rsidRDefault="00460A1A" w:rsidP="00345119">
            <w:pPr>
              <w:jc w:val="right"/>
            </w:pPr>
            <w:r>
              <w:t>H.B. 4307</w:t>
            </w:r>
          </w:p>
        </w:tc>
      </w:tr>
      <w:tr w:rsidR="00824BE1" w:rsidTr="00345119">
        <w:tc>
          <w:tcPr>
            <w:tcW w:w="9576" w:type="dxa"/>
          </w:tcPr>
          <w:p w:rsidR="008423E4" w:rsidRPr="00861995" w:rsidRDefault="00460A1A" w:rsidP="00255E11">
            <w:pPr>
              <w:jc w:val="right"/>
            </w:pPr>
            <w:r>
              <w:t xml:space="preserve">By: </w:t>
            </w:r>
            <w:r>
              <w:t>Vo</w:t>
            </w:r>
          </w:p>
        </w:tc>
      </w:tr>
      <w:tr w:rsidR="00824BE1" w:rsidTr="00345119">
        <w:tc>
          <w:tcPr>
            <w:tcW w:w="9576" w:type="dxa"/>
          </w:tcPr>
          <w:p w:rsidR="008423E4" w:rsidRPr="00861995" w:rsidRDefault="00460A1A" w:rsidP="00345119">
            <w:pPr>
              <w:jc w:val="right"/>
            </w:pPr>
            <w:r>
              <w:t>Business &amp; Industry</w:t>
            </w:r>
          </w:p>
        </w:tc>
      </w:tr>
      <w:tr w:rsidR="00824BE1" w:rsidTr="00345119">
        <w:tc>
          <w:tcPr>
            <w:tcW w:w="9576" w:type="dxa"/>
          </w:tcPr>
          <w:p w:rsidR="008423E4" w:rsidRDefault="00460A1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60A1A" w:rsidP="008423E4">
      <w:pPr>
        <w:tabs>
          <w:tab w:val="right" w:pos="9360"/>
        </w:tabs>
      </w:pPr>
    </w:p>
    <w:p w:rsidR="008423E4" w:rsidRDefault="00460A1A" w:rsidP="008423E4"/>
    <w:p w:rsidR="008423E4" w:rsidRDefault="00460A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24BE1" w:rsidTr="00345119">
        <w:tc>
          <w:tcPr>
            <w:tcW w:w="9576" w:type="dxa"/>
          </w:tcPr>
          <w:p w:rsidR="008423E4" w:rsidRPr="00A8133F" w:rsidRDefault="00460A1A" w:rsidP="00AE7DF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0A1A" w:rsidP="00AE7DF6"/>
          <w:p w:rsidR="003F5900" w:rsidRDefault="00460A1A" w:rsidP="00AE7DF6">
            <w:pPr>
              <w:pStyle w:val="Header"/>
              <w:jc w:val="both"/>
            </w:pPr>
            <w:r>
              <w:t xml:space="preserve">It has been noted that the Texas Workforce Commission </w:t>
            </w:r>
            <w:r>
              <w:t>lacks clear authority to enforce any conciliation agreement</w:t>
            </w:r>
            <w:r>
              <w:t xml:space="preserve"> between parties in a housing discrimination suit</w:t>
            </w:r>
            <w:r>
              <w:t xml:space="preserve"> or to refer these matters to the </w:t>
            </w:r>
            <w:r>
              <w:t>a</w:t>
            </w:r>
            <w:r>
              <w:t xml:space="preserve">ttorney </w:t>
            </w:r>
            <w:r>
              <w:t>g</w:t>
            </w:r>
            <w:r>
              <w:t>eneral for enforcement</w:t>
            </w:r>
            <w:r>
              <w:t>. Currently,</w:t>
            </w:r>
            <w:r>
              <w:t xml:space="preserve"> cases involv</w:t>
            </w:r>
            <w:r>
              <w:t>ing</w:t>
            </w:r>
            <w:r>
              <w:t xml:space="preserve"> the exceptions to exemption from the </w:t>
            </w:r>
            <w:r>
              <w:t xml:space="preserve">federal </w:t>
            </w:r>
            <w:r>
              <w:t>Fair Housing Act</w:t>
            </w:r>
            <w:r>
              <w:t xml:space="preserve"> </w:t>
            </w:r>
            <w:r>
              <w:t xml:space="preserve">must </w:t>
            </w:r>
            <w:r>
              <w:t xml:space="preserve">be </w:t>
            </w:r>
            <w:r>
              <w:t>refer</w:t>
            </w:r>
            <w:r>
              <w:t>red</w:t>
            </w:r>
            <w:r>
              <w:t xml:space="preserve"> to the U.S. Department of Housing</w:t>
            </w:r>
            <w:r>
              <w:t xml:space="preserve"> and Urban Development for investigation </w:t>
            </w:r>
            <w:r>
              <w:t>because</w:t>
            </w:r>
            <w:r>
              <w:t xml:space="preserve"> the Texas Fair Housing Act does not contain </w:t>
            </w:r>
            <w:r>
              <w:t xml:space="preserve">applicable </w:t>
            </w:r>
            <w:r>
              <w:t xml:space="preserve">provisions related to these exceptions. </w:t>
            </w:r>
            <w:r>
              <w:t xml:space="preserve">H.B. 4307 seeks to address this issue by </w:t>
            </w:r>
            <w:r>
              <w:t xml:space="preserve">making changes relating to housing discrimination under </w:t>
            </w:r>
            <w:r>
              <w:t xml:space="preserve">the Texas Fair </w:t>
            </w:r>
            <w:r>
              <w:t>Housing Act to align the</w:t>
            </w:r>
            <w:r>
              <w:t xml:space="preserve"> act</w:t>
            </w:r>
            <w:r>
              <w:t xml:space="preserve"> with the federal Fair Housing Act.</w:t>
            </w:r>
          </w:p>
          <w:p w:rsidR="008423E4" w:rsidRPr="00E26B13" w:rsidRDefault="00460A1A" w:rsidP="00AE7DF6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824BE1" w:rsidTr="00345119">
        <w:tc>
          <w:tcPr>
            <w:tcW w:w="9576" w:type="dxa"/>
          </w:tcPr>
          <w:p w:rsidR="0017725B" w:rsidRDefault="00460A1A" w:rsidP="00AE7D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60A1A" w:rsidP="00AE7DF6">
            <w:pPr>
              <w:rPr>
                <w:b/>
                <w:u w:val="single"/>
              </w:rPr>
            </w:pPr>
          </w:p>
          <w:p w:rsidR="002B220C" w:rsidRPr="002B220C" w:rsidRDefault="00460A1A" w:rsidP="00AE7DF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460A1A" w:rsidP="00AE7DF6">
            <w:pPr>
              <w:rPr>
                <w:b/>
                <w:u w:val="single"/>
              </w:rPr>
            </w:pPr>
          </w:p>
        </w:tc>
      </w:tr>
      <w:tr w:rsidR="00824BE1" w:rsidTr="00345119">
        <w:tc>
          <w:tcPr>
            <w:tcW w:w="9576" w:type="dxa"/>
          </w:tcPr>
          <w:p w:rsidR="008423E4" w:rsidRPr="00A8133F" w:rsidRDefault="00460A1A" w:rsidP="00AE7DF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0A1A" w:rsidP="00AE7DF6"/>
          <w:p w:rsidR="00C62352" w:rsidRDefault="00460A1A" w:rsidP="00AE7D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460A1A" w:rsidP="00AE7DF6">
            <w:pPr>
              <w:rPr>
                <w:b/>
              </w:rPr>
            </w:pPr>
          </w:p>
        </w:tc>
      </w:tr>
      <w:tr w:rsidR="00824BE1" w:rsidTr="00345119">
        <w:tc>
          <w:tcPr>
            <w:tcW w:w="9576" w:type="dxa"/>
          </w:tcPr>
          <w:p w:rsidR="008423E4" w:rsidRPr="00A8133F" w:rsidRDefault="00460A1A" w:rsidP="00AE7DF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0A1A" w:rsidP="00AE7DF6"/>
          <w:p w:rsidR="008423E4" w:rsidRDefault="00460A1A" w:rsidP="00AE7DF6">
            <w:pPr>
              <w:pStyle w:val="Header"/>
              <w:jc w:val="both"/>
            </w:pPr>
            <w:r>
              <w:t>H.B. 4307 amends the Property Code to prohibit a person from interfering, coercing, intimidating, retaliating against, or harassing any person who exercises a right or protection granted under the T</w:t>
            </w:r>
            <w:r>
              <w:t xml:space="preserve">exas Fair Housing Act or </w:t>
            </w:r>
            <w:r>
              <w:t xml:space="preserve">who </w:t>
            </w:r>
            <w:r>
              <w:t xml:space="preserve">encourages another person to exercise a right or protection granted under that act. </w:t>
            </w:r>
          </w:p>
          <w:p w:rsidR="00C62352" w:rsidRDefault="00460A1A" w:rsidP="00AE7DF6">
            <w:pPr>
              <w:pStyle w:val="Header"/>
              <w:jc w:val="both"/>
            </w:pPr>
          </w:p>
          <w:p w:rsidR="003D7830" w:rsidRDefault="00460A1A" w:rsidP="00AE7DF6">
            <w:pPr>
              <w:pStyle w:val="Header"/>
              <w:jc w:val="both"/>
            </w:pPr>
            <w:r>
              <w:t xml:space="preserve">H.B. 4307 </w:t>
            </w:r>
            <w:r>
              <w:t xml:space="preserve">revises </w:t>
            </w:r>
            <w:r>
              <w:t>the exemption of</w:t>
            </w:r>
            <w:r>
              <w:t xml:space="preserve"> </w:t>
            </w:r>
            <w:r>
              <w:t xml:space="preserve">the sale </w:t>
            </w:r>
            <w:r>
              <w:t>or</w:t>
            </w:r>
            <w:r>
              <w:t xml:space="preserve"> rental of </w:t>
            </w:r>
            <w:r>
              <w:t xml:space="preserve">a </w:t>
            </w:r>
            <w:r>
              <w:t>single-family house</w:t>
            </w:r>
            <w:r>
              <w:t xml:space="preserve"> under certain conditions and the sale or rental of the </w:t>
            </w:r>
            <w:r>
              <w:t>rooms o</w:t>
            </w:r>
            <w:r>
              <w:t xml:space="preserve">r units in a dwelling </w:t>
            </w:r>
            <w:r w:rsidRPr="00FE17DA">
              <w:t>containing living quarters occupied by or intended to be occupied by not more than four families living independently of each other</w:t>
            </w:r>
            <w:r>
              <w:t xml:space="preserve"> under certain conditions </w:t>
            </w:r>
            <w:r>
              <w:t xml:space="preserve">to remove the exemption for </w:t>
            </w:r>
            <w:r>
              <w:t xml:space="preserve">Texas Fair Housing Act </w:t>
            </w:r>
            <w:r>
              <w:t xml:space="preserve">prohibited discrimination </w:t>
            </w:r>
            <w:r>
              <w:t>provisions</w:t>
            </w:r>
            <w:r>
              <w:t xml:space="preserve"> relati</w:t>
            </w:r>
            <w:r>
              <w:t>ng to</w:t>
            </w:r>
            <w:r>
              <w:t xml:space="preserve"> publication about the sale or rental of a dwelling</w:t>
            </w:r>
            <w:r>
              <w:t>,</w:t>
            </w:r>
            <w:r>
              <w:t xml:space="preserve"> to residential real estate</w:t>
            </w:r>
            <w:r>
              <w:t>-</w:t>
            </w:r>
            <w:r>
              <w:t>related transactions</w:t>
            </w:r>
            <w:r>
              <w:t>,</w:t>
            </w:r>
            <w:r>
              <w:t xml:space="preserve"> and </w:t>
            </w:r>
            <w:r>
              <w:t xml:space="preserve">to </w:t>
            </w:r>
            <w:r>
              <w:t xml:space="preserve">brokerage services.  </w:t>
            </w:r>
          </w:p>
          <w:p w:rsidR="003D7830" w:rsidRDefault="00460A1A" w:rsidP="00AE7DF6">
            <w:pPr>
              <w:pStyle w:val="Header"/>
              <w:jc w:val="both"/>
            </w:pPr>
          </w:p>
          <w:p w:rsidR="006678D4" w:rsidRDefault="00460A1A" w:rsidP="00AE7DF6">
            <w:pPr>
              <w:pStyle w:val="Header"/>
              <w:jc w:val="both"/>
            </w:pPr>
            <w:r>
              <w:t xml:space="preserve">H.B. 4307 </w:t>
            </w:r>
            <w:r>
              <w:t>changes a condition under which the sale or rental of a single-family house</w:t>
            </w:r>
            <w:r>
              <w:t xml:space="preserve"> is exempt </w:t>
            </w:r>
            <w:r>
              <w:t xml:space="preserve">from </w:t>
            </w:r>
            <w:r>
              <w:t>certain</w:t>
            </w:r>
            <w:r>
              <w:t xml:space="preserve"> </w:t>
            </w:r>
            <w:r>
              <w:t xml:space="preserve">Texas Fair Housing Act </w:t>
            </w:r>
            <w:r>
              <w:t xml:space="preserve">prohibited discrimination </w:t>
            </w:r>
            <w:r>
              <w:t xml:space="preserve">provisions </w:t>
            </w:r>
            <w:r>
              <w:t xml:space="preserve">from </w:t>
            </w:r>
            <w:r>
              <w:t xml:space="preserve">the house </w:t>
            </w:r>
            <w:r>
              <w:t xml:space="preserve">being </w:t>
            </w:r>
            <w:r>
              <w:t>sold or rented without t</w:t>
            </w:r>
            <w:r w:rsidRPr="006678D4">
              <w:t xml:space="preserve">he use </w:t>
            </w:r>
            <w:r>
              <w:t>of t</w:t>
            </w:r>
            <w:r w:rsidRPr="006678D4">
              <w:t>he facilities or services of the owner of a dwelling designed or intended for occu</w:t>
            </w:r>
            <w:r>
              <w:t>pancy by five or more families to</w:t>
            </w:r>
            <w:r>
              <w:t xml:space="preserve"> the house being </w:t>
            </w:r>
            <w:r>
              <w:t>sold or rented without</w:t>
            </w:r>
            <w:r>
              <w:t xml:space="preserve"> the use of </w:t>
            </w:r>
            <w:r>
              <w:t>facilities or services</w:t>
            </w:r>
            <w:r>
              <w:t xml:space="preserve"> of any person in the business of selling or renting a dwelling. </w:t>
            </w:r>
            <w:r>
              <w:t xml:space="preserve">The bill </w:t>
            </w:r>
            <w:r>
              <w:t xml:space="preserve">clarifies that </w:t>
            </w:r>
            <w:r>
              <w:t>these</w:t>
            </w:r>
            <w:r>
              <w:t xml:space="preserve"> exemption</w:t>
            </w:r>
            <w:r>
              <w:t xml:space="preserve"> </w:t>
            </w:r>
            <w:r>
              <w:t xml:space="preserve">provisions expressly do not </w:t>
            </w:r>
            <w:r w:rsidRPr="006678D4">
              <w:t>prohibit the use of attorneys, escrow agents, abstractors, title co</w:t>
            </w:r>
            <w:r w:rsidRPr="006678D4">
              <w:t>mpanies, and other professional assistants necessary to transfer title.</w:t>
            </w:r>
            <w:r>
              <w:t xml:space="preserve"> The bill </w:t>
            </w:r>
            <w:r>
              <w:t xml:space="preserve">sets out the persons considered a person </w:t>
            </w:r>
            <w:r>
              <w:t xml:space="preserve">in the business of selling or renting a dwelling </w:t>
            </w:r>
            <w:r>
              <w:t>for purposes of such provisions.</w:t>
            </w:r>
            <w:r>
              <w:t xml:space="preserve"> The </w:t>
            </w:r>
            <w:r>
              <w:t xml:space="preserve">bill </w:t>
            </w:r>
            <w:r>
              <w:t xml:space="preserve">revises the provision making the exemption </w:t>
            </w:r>
            <w:r>
              <w:t xml:space="preserve">applicable only to one sale or rental </w:t>
            </w:r>
            <w:r>
              <w:t xml:space="preserve">of a single family home </w:t>
            </w:r>
            <w:r>
              <w:t>in a 24-month period if the owner was not the most recent resident of the house at the time of sale or rental to remove the applicability for a rental under those circumstances.</w:t>
            </w:r>
          </w:p>
          <w:p w:rsidR="00913F4E" w:rsidRDefault="00460A1A" w:rsidP="00837254">
            <w:pPr>
              <w:pStyle w:val="Header"/>
              <w:jc w:val="both"/>
            </w:pPr>
          </w:p>
          <w:p w:rsidR="00145DAD" w:rsidRDefault="00460A1A" w:rsidP="00837254">
            <w:pPr>
              <w:pStyle w:val="Header"/>
              <w:jc w:val="both"/>
            </w:pPr>
            <w:r>
              <w:t>H.B. 4307 autho</w:t>
            </w:r>
            <w:r>
              <w:t xml:space="preserve">rizes the Texas Workforce Commission (TWC) to review </w:t>
            </w:r>
            <w:r w:rsidRPr="00145DAD">
              <w:t xml:space="preserve">a respondent's compliance with the terms of a conciliation agreement entered into under </w:t>
            </w:r>
            <w:r>
              <w:t>the Texas Fair Housing Act</w:t>
            </w:r>
            <w:r w:rsidRPr="00145DAD">
              <w:t>.</w:t>
            </w:r>
            <w:r>
              <w:t xml:space="preserve"> The bill requires the TWC, if</w:t>
            </w:r>
            <w:r w:rsidRPr="00145DAD">
              <w:t xml:space="preserve"> the </w:t>
            </w:r>
            <w:r>
              <w:t>TWC</w:t>
            </w:r>
            <w:r w:rsidRPr="00145DAD">
              <w:t xml:space="preserve"> has reasonable cause to believe that a respondent</w:t>
            </w:r>
            <w:r w:rsidRPr="00145DAD">
              <w:t xml:space="preserve"> has breached a conciliation agreement,</w:t>
            </w:r>
            <w:r>
              <w:t xml:space="preserve"> to</w:t>
            </w:r>
            <w:r w:rsidRPr="00145DAD">
              <w:t xml:space="preserve"> refer the matter to the attorney general with a recommendation for the attorney general to file in accordance with </w:t>
            </w:r>
            <w:r>
              <w:t>th</w:t>
            </w:r>
            <w:r>
              <w:t xml:space="preserve">at act </w:t>
            </w:r>
            <w:r w:rsidRPr="00145DAD">
              <w:t>a civil action to enforce the agreement.</w:t>
            </w:r>
          </w:p>
          <w:p w:rsidR="008423E4" w:rsidRPr="00835628" w:rsidRDefault="00460A1A" w:rsidP="00AE7DF6">
            <w:pPr>
              <w:rPr>
                <w:b/>
              </w:rPr>
            </w:pPr>
          </w:p>
        </w:tc>
      </w:tr>
      <w:tr w:rsidR="00824BE1" w:rsidTr="00345119">
        <w:tc>
          <w:tcPr>
            <w:tcW w:w="9576" w:type="dxa"/>
          </w:tcPr>
          <w:p w:rsidR="008423E4" w:rsidRPr="00A8133F" w:rsidRDefault="00460A1A" w:rsidP="00AE7DF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0A1A" w:rsidP="00AE7DF6"/>
          <w:p w:rsidR="008423E4" w:rsidRPr="003624F2" w:rsidRDefault="00460A1A" w:rsidP="00AE7D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60A1A" w:rsidP="00AE7DF6">
            <w:pPr>
              <w:rPr>
                <w:b/>
              </w:rPr>
            </w:pPr>
          </w:p>
        </w:tc>
      </w:tr>
    </w:tbl>
    <w:p w:rsidR="008423E4" w:rsidRPr="00BE0E75" w:rsidRDefault="00460A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60A1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A1A">
      <w:r>
        <w:separator/>
      </w:r>
    </w:p>
  </w:endnote>
  <w:endnote w:type="continuationSeparator" w:id="0">
    <w:p w:rsidR="00000000" w:rsidRDefault="004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4BE1" w:rsidTr="009C1E9A">
      <w:trPr>
        <w:cantSplit/>
      </w:trPr>
      <w:tc>
        <w:tcPr>
          <w:tcW w:w="0" w:type="pct"/>
        </w:tcPr>
        <w:p w:rsidR="00137D90" w:rsidRDefault="00460A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0A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0A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0A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0A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4BE1" w:rsidTr="009C1E9A">
      <w:trPr>
        <w:cantSplit/>
      </w:trPr>
      <w:tc>
        <w:tcPr>
          <w:tcW w:w="0" w:type="pct"/>
        </w:tcPr>
        <w:p w:rsidR="00EC379B" w:rsidRDefault="00460A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0A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28960</w:t>
          </w:r>
        </w:p>
      </w:tc>
      <w:tc>
        <w:tcPr>
          <w:tcW w:w="2453" w:type="pct"/>
        </w:tcPr>
        <w:p w:rsidR="00EC379B" w:rsidRDefault="00460A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19.109.1053</w:t>
          </w:r>
          <w:r>
            <w:fldChar w:fldCharType="end"/>
          </w:r>
        </w:p>
      </w:tc>
    </w:tr>
    <w:tr w:rsidR="00824BE1" w:rsidTr="009C1E9A">
      <w:trPr>
        <w:cantSplit/>
      </w:trPr>
      <w:tc>
        <w:tcPr>
          <w:tcW w:w="0" w:type="pct"/>
        </w:tcPr>
        <w:p w:rsidR="00EC379B" w:rsidRDefault="00460A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0A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60A1A" w:rsidP="006D504F">
          <w:pPr>
            <w:pStyle w:val="Footer"/>
            <w:rPr>
              <w:rStyle w:val="PageNumber"/>
            </w:rPr>
          </w:pPr>
        </w:p>
        <w:p w:rsidR="00EC379B" w:rsidRDefault="00460A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4B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0A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60A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0A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A1A">
      <w:r>
        <w:separator/>
      </w:r>
    </w:p>
  </w:footnote>
  <w:footnote w:type="continuationSeparator" w:id="0">
    <w:p w:rsidR="00000000" w:rsidRDefault="0046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83D"/>
    <w:multiLevelType w:val="hybridMultilevel"/>
    <w:tmpl w:val="1A22E91A"/>
    <w:lvl w:ilvl="0" w:tplc="F84AC8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E1A107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88EF03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982BD4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C50D5E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520C15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994465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3467DA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1A147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F5272D"/>
    <w:multiLevelType w:val="hybridMultilevel"/>
    <w:tmpl w:val="3BBAAEA2"/>
    <w:lvl w:ilvl="0" w:tplc="8E480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A3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2B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A9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EE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00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4A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CE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60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52021"/>
    <w:multiLevelType w:val="hybridMultilevel"/>
    <w:tmpl w:val="86D884EA"/>
    <w:lvl w:ilvl="0" w:tplc="2E7C9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87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2F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3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4C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CE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44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6E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C0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E1"/>
    <w:rsid w:val="00460A1A"/>
    <w:rsid w:val="0082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C24179-13D7-41E9-8D3C-C5E2A9A7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23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2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23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2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2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3164</Characters>
  <Application>Microsoft Office Word</Application>
  <DocSecurity>4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HB04307 (Committee Report (Unamended))</vt:lpstr>
    </vt:vector>
  </TitlesOfParts>
  <Company>State of Texas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28960</dc:subject>
  <dc:creator>State of Texas</dc:creator>
  <dc:description>HB 4307 by Vo-(H)Business &amp; Industry</dc:description>
  <cp:lastModifiedBy>Stacey Nicchio</cp:lastModifiedBy>
  <cp:revision>2</cp:revision>
  <cp:lastPrinted>2003-11-26T17:21:00Z</cp:lastPrinted>
  <dcterms:created xsi:type="dcterms:W3CDTF">2019-04-29T22:37:00Z</dcterms:created>
  <dcterms:modified xsi:type="dcterms:W3CDTF">2019-04-29T22:37:00Z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19.109.1053</vt:lpwstr>
  </property>
</Properties>
</file>