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12A6" w:rsidTr="00345119">
        <w:tc>
          <w:tcPr>
            <w:tcW w:w="9576" w:type="dxa"/>
            <w:noWrap/>
          </w:tcPr>
          <w:p w:rsidR="008423E4" w:rsidRPr="0022177D" w:rsidRDefault="005304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04DE" w:rsidP="008423E4">
      <w:pPr>
        <w:jc w:val="center"/>
      </w:pPr>
    </w:p>
    <w:p w:rsidR="008423E4" w:rsidRPr="00B31F0E" w:rsidRDefault="005304DE" w:rsidP="008423E4"/>
    <w:p w:rsidR="008423E4" w:rsidRPr="00742794" w:rsidRDefault="005304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12A6" w:rsidTr="00345119">
        <w:tc>
          <w:tcPr>
            <w:tcW w:w="9576" w:type="dxa"/>
          </w:tcPr>
          <w:p w:rsidR="008423E4" w:rsidRPr="00861995" w:rsidRDefault="005304DE" w:rsidP="00345119">
            <w:pPr>
              <w:jc w:val="right"/>
            </w:pPr>
            <w:r>
              <w:t>H.B. 4309</w:t>
            </w:r>
          </w:p>
        </w:tc>
      </w:tr>
      <w:tr w:rsidR="006D12A6" w:rsidTr="00345119">
        <w:tc>
          <w:tcPr>
            <w:tcW w:w="9576" w:type="dxa"/>
          </w:tcPr>
          <w:p w:rsidR="008423E4" w:rsidRPr="00861995" w:rsidRDefault="005304DE" w:rsidP="00F560A4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6D12A6" w:rsidTr="00345119">
        <w:tc>
          <w:tcPr>
            <w:tcW w:w="9576" w:type="dxa"/>
          </w:tcPr>
          <w:p w:rsidR="008423E4" w:rsidRPr="00861995" w:rsidRDefault="005304DE" w:rsidP="00345119">
            <w:pPr>
              <w:jc w:val="right"/>
            </w:pPr>
            <w:r>
              <w:t>State Affairs</w:t>
            </w:r>
          </w:p>
        </w:tc>
      </w:tr>
      <w:tr w:rsidR="006D12A6" w:rsidTr="00345119">
        <w:tc>
          <w:tcPr>
            <w:tcW w:w="9576" w:type="dxa"/>
          </w:tcPr>
          <w:p w:rsidR="008423E4" w:rsidRDefault="005304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04DE" w:rsidP="008423E4">
      <w:pPr>
        <w:tabs>
          <w:tab w:val="right" w:pos="9360"/>
        </w:tabs>
      </w:pPr>
    </w:p>
    <w:p w:rsidR="008423E4" w:rsidRDefault="005304DE" w:rsidP="008423E4"/>
    <w:p w:rsidR="008423E4" w:rsidRDefault="005304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12A6" w:rsidTr="00345119">
        <w:tc>
          <w:tcPr>
            <w:tcW w:w="9576" w:type="dxa"/>
          </w:tcPr>
          <w:p w:rsidR="008423E4" w:rsidRPr="00A8133F" w:rsidRDefault="005304DE" w:rsidP="00411D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DE3F9E" w:rsidRDefault="005304DE" w:rsidP="00411DA1">
            <w:pPr>
              <w:rPr>
                <w:sz w:val="20"/>
              </w:rPr>
            </w:pPr>
          </w:p>
          <w:p w:rsidR="008423E4" w:rsidRDefault="005304DE" w:rsidP="00411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86C55">
              <w:t xml:space="preserve">Currently, the </w:t>
            </w:r>
            <w:r>
              <w:t>s</w:t>
            </w:r>
            <w:r w:rsidRPr="00C86C55">
              <w:t xml:space="preserve">tate </w:t>
            </w:r>
            <w:r>
              <w:t>a</w:t>
            </w:r>
            <w:r w:rsidRPr="00C86C55">
              <w:t>uditor is responsible for providing uniform interpretations of state employee leave policy</w:t>
            </w:r>
            <w:r>
              <w:t xml:space="preserve"> while t</w:t>
            </w:r>
            <w:r w:rsidRPr="00C86C55">
              <w:t xml:space="preserve">he </w:t>
            </w:r>
            <w:r>
              <w:t>c</w:t>
            </w:r>
            <w:r w:rsidRPr="00C86C55">
              <w:t xml:space="preserve">omptroller of </w:t>
            </w:r>
            <w:r>
              <w:t>p</w:t>
            </w:r>
            <w:r w:rsidRPr="00C86C55">
              <w:t xml:space="preserve">ublic </w:t>
            </w:r>
            <w:r>
              <w:t>a</w:t>
            </w:r>
            <w:r w:rsidRPr="00C86C55">
              <w:t>ccounts is responsible for administering the state’s payroll and related policies</w:t>
            </w:r>
            <w:r>
              <w:t>.</w:t>
            </w:r>
            <w:r w:rsidRPr="00C86C55">
              <w:t xml:space="preserve"> </w:t>
            </w:r>
            <w:r>
              <w:t xml:space="preserve">It is noted, however, that </w:t>
            </w:r>
            <w:r>
              <w:t xml:space="preserve">employee </w:t>
            </w:r>
            <w:r w:rsidRPr="00C86C55">
              <w:t>leave is functionally tied to payroll processing</w:t>
            </w:r>
            <w:r>
              <w:t xml:space="preserve">, that </w:t>
            </w:r>
            <w:r w:rsidRPr="00C86C55">
              <w:t>the comptroller administers the centralized accounting and payroll/personne</w:t>
            </w:r>
            <w:r w:rsidRPr="00C86C55">
              <w:t>l system</w:t>
            </w:r>
            <w:r>
              <w:t>, and that</w:t>
            </w:r>
            <w:r w:rsidRPr="00C86C55">
              <w:t xml:space="preserve"> the state’s leave policies </w:t>
            </w:r>
            <w:r>
              <w:t xml:space="preserve">and the comptroller's functions </w:t>
            </w:r>
            <w:r w:rsidRPr="00C86C55">
              <w:t>must necessarily align to ensure accuracy and administrative efficiency</w:t>
            </w:r>
            <w:r>
              <w:t xml:space="preserve">. </w:t>
            </w:r>
            <w:r w:rsidRPr="00C86C55">
              <w:t>H</w:t>
            </w:r>
            <w:r>
              <w:t>.</w:t>
            </w:r>
            <w:r w:rsidRPr="00C86C55">
              <w:t>B</w:t>
            </w:r>
            <w:r>
              <w:t>.</w:t>
            </w:r>
            <w:r w:rsidRPr="00C86C55">
              <w:t xml:space="preserve"> 4309 </w:t>
            </w:r>
            <w:r>
              <w:t>seeks to</w:t>
            </w:r>
            <w:r w:rsidRPr="00C86C55">
              <w:t xml:space="preserve"> </w:t>
            </w:r>
            <w:r>
              <w:t xml:space="preserve">maximize these efficiencies by </w:t>
            </w:r>
            <w:r w:rsidRPr="00C86C55">
              <w:t>transfer</w:t>
            </w:r>
            <w:r>
              <w:t>ring</w:t>
            </w:r>
            <w:r w:rsidRPr="00C86C55">
              <w:t xml:space="preserve"> the powers and duties of the state auditor</w:t>
            </w:r>
            <w:r w:rsidRPr="00C86C55">
              <w:t xml:space="preserve"> relating to leave for state employees to the comptroller.</w:t>
            </w:r>
          </w:p>
          <w:p w:rsidR="008423E4" w:rsidRPr="00E26B13" w:rsidRDefault="005304DE" w:rsidP="00411DA1">
            <w:pPr>
              <w:rPr>
                <w:b/>
              </w:rPr>
            </w:pPr>
          </w:p>
        </w:tc>
      </w:tr>
      <w:tr w:rsidR="006D12A6" w:rsidTr="00345119">
        <w:tc>
          <w:tcPr>
            <w:tcW w:w="9576" w:type="dxa"/>
          </w:tcPr>
          <w:p w:rsidR="0017725B" w:rsidRDefault="005304DE" w:rsidP="00411D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DE3F9E" w:rsidRDefault="005304DE" w:rsidP="00411DA1">
            <w:pPr>
              <w:rPr>
                <w:b/>
                <w:sz w:val="20"/>
                <w:u w:val="single"/>
              </w:rPr>
            </w:pPr>
          </w:p>
          <w:p w:rsidR="00061BA7" w:rsidRPr="00061BA7" w:rsidRDefault="005304DE" w:rsidP="00411DA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5304DE" w:rsidP="00411DA1">
            <w:pPr>
              <w:rPr>
                <w:b/>
                <w:u w:val="single"/>
              </w:rPr>
            </w:pPr>
          </w:p>
        </w:tc>
      </w:tr>
      <w:tr w:rsidR="006D12A6" w:rsidTr="00345119">
        <w:tc>
          <w:tcPr>
            <w:tcW w:w="9576" w:type="dxa"/>
          </w:tcPr>
          <w:p w:rsidR="008423E4" w:rsidRPr="00A8133F" w:rsidRDefault="005304DE" w:rsidP="00411D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DE3F9E" w:rsidRDefault="005304DE" w:rsidP="00411DA1">
            <w:pPr>
              <w:rPr>
                <w:sz w:val="22"/>
              </w:rPr>
            </w:pPr>
          </w:p>
          <w:p w:rsidR="00683E86" w:rsidRDefault="005304DE" w:rsidP="00411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F2081B" w:rsidRDefault="005304DE" w:rsidP="00411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D12A6" w:rsidTr="00345119">
        <w:tc>
          <w:tcPr>
            <w:tcW w:w="9576" w:type="dxa"/>
          </w:tcPr>
          <w:p w:rsidR="008423E4" w:rsidRPr="00A8133F" w:rsidRDefault="005304DE" w:rsidP="00411D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DE3F9E" w:rsidRDefault="005304DE" w:rsidP="00411DA1">
            <w:pPr>
              <w:rPr>
                <w:sz w:val="20"/>
              </w:rPr>
            </w:pPr>
          </w:p>
          <w:p w:rsidR="006053BD" w:rsidRDefault="005304DE" w:rsidP="00411DA1">
            <w:pPr>
              <w:pStyle w:val="Header"/>
              <w:jc w:val="both"/>
            </w:pPr>
            <w:r>
              <w:t xml:space="preserve">H.B. 4309 provides for the following to be transferred from the state auditor to the comptroller of public accounts not later than September 10, 2019: </w:t>
            </w:r>
          </w:p>
          <w:p w:rsidR="006053BD" w:rsidRDefault="005304DE" w:rsidP="00411DA1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powers and duties of the state auditor relating</w:t>
            </w:r>
            <w:r>
              <w:t xml:space="preserve"> to leave for state employees; and</w:t>
            </w:r>
          </w:p>
          <w:p w:rsidR="006053BD" w:rsidRDefault="005304DE" w:rsidP="00DE3F9E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all property and records in the state auditor</w:t>
            </w:r>
            <w:r>
              <w:t>'s custody</w:t>
            </w:r>
            <w:r>
              <w:t xml:space="preserve"> that are related to a transferred power or duty and all funds appropriated by the legislature for that power or duty.</w:t>
            </w:r>
            <w:r>
              <w:t xml:space="preserve"> </w:t>
            </w:r>
          </w:p>
          <w:p w:rsidR="00F44850" w:rsidRPr="00DE3F9E" w:rsidRDefault="005304DE" w:rsidP="00411DA1">
            <w:pPr>
              <w:pStyle w:val="Header"/>
              <w:jc w:val="both"/>
              <w:rPr>
                <w:sz w:val="20"/>
              </w:rPr>
            </w:pPr>
          </w:p>
          <w:p w:rsidR="004F06C7" w:rsidRDefault="005304DE" w:rsidP="00411DA1">
            <w:pPr>
              <w:pStyle w:val="Header"/>
              <w:jc w:val="both"/>
            </w:pPr>
            <w:r>
              <w:t>H.B. 4309</w:t>
            </w:r>
            <w:r>
              <w:t xml:space="preserve"> requires the state auditor and the </w:t>
            </w:r>
            <w:r>
              <w:t xml:space="preserve">comptroller, </w:t>
            </w:r>
            <w:r w:rsidRPr="00557998">
              <w:t xml:space="preserve">not later than </w:t>
            </w:r>
            <w:r>
              <w:t>that date</w:t>
            </w:r>
            <w:r w:rsidRPr="00557998">
              <w:t>,</w:t>
            </w:r>
            <w:r>
              <w:t xml:space="preserve"> to enter into a memorandum of understanding that identifies in detail the applicable transferred powers and duties and establishes a plan for the identification and transfer of the records, property, and unspent appro</w:t>
            </w:r>
            <w:r>
              <w:t xml:space="preserve">priations used for purposes of the </w:t>
            </w:r>
            <w:r>
              <w:t>transferred powers and duties.</w:t>
            </w:r>
          </w:p>
          <w:p w:rsidR="006053BD" w:rsidRPr="00DE3F9E" w:rsidRDefault="005304DE" w:rsidP="00411DA1">
            <w:pPr>
              <w:pStyle w:val="Header"/>
              <w:jc w:val="both"/>
              <w:rPr>
                <w:sz w:val="20"/>
              </w:rPr>
            </w:pPr>
          </w:p>
          <w:p w:rsidR="006053BD" w:rsidRDefault="005304DE" w:rsidP="00411DA1">
            <w:pPr>
              <w:pStyle w:val="Header"/>
              <w:jc w:val="both"/>
            </w:pPr>
            <w:r>
              <w:t xml:space="preserve">H.B. 4309 </w:t>
            </w:r>
            <w:r w:rsidRPr="006053BD">
              <w:t>establishes that a rule, form, policy, procedure, or decision of the state auditor that is related to a transferred power or duty continues in effect as a rule, form, policy, proc</w:t>
            </w:r>
            <w:r w:rsidRPr="006053BD">
              <w:t>edure, or decision of the comptroller until superseded by the comptroller</w:t>
            </w:r>
            <w:r>
              <w:t xml:space="preserve"> and that a</w:t>
            </w:r>
            <w:r w:rsidRPr="006053BD">
              <w:t xml:space="preserve"> reference in law or administrative rule to the state auditor that relates to a transferred power or duty means the comptroller.</w:t>
            </w:r>
          </w:p>
          <w:p w:rsidR="006053BD" w:rsidRPr="00DE3F9E" w:rsidRDefault="005304DE" w:rsidP="00411DA1">
            <w:pPr>
              <w:pStyle w:val="Header"/>
              <w:jc w:val="both"/>
              <w:rPr>
                <w:sz w:val="20"/>
              </w:rPr>
            </w:pPr>
          </w:p>
          <w:p w:rsidR="006053BD" w:rsidRDefault="005304DE" w:rsidP="00411DA1">
            <w:pPr>
              <w:pStyle w:val="Header"/>
              <w:jc w:val="both"/>
            </w:pPr>
            <w:r>
              <w:t>H.B. 4309 amends the Government Code to ma</w:t>
            </w:r>
            <w:r>
              <w:t xml:space="preserve">ke conforming </w:t>
            </w:r>
            <w:r w:rsidRPr="006053BD">
              <w:t>changes</w:t>
            </w:r>
            <w:r>
              <w:t>.</w:t>
            </w:r>
          </w:p>
          <w:p w:rsidR="008423E4" w:rsidRPr="00835628" w:rsidRDefault="005304DE" w:rsidP="00411DA1">
            <w:pPr>
              <w:rPr>
                <w:b/>
              </w:rPr>
            </w:pPr>
          </w:p>
        </w:tc>
      </w:tr>
      <w:tr w:rsidR="006D12A6" w:rsidTr="00345119">
        <w:tc>
          <w:tcPr>
            <w:tcW w:w="9576" w:type="dxa"/>
          </w:tcPr>
          <w:p w:rsidR="008423E4" w:rsidRPr="00A8133F" w:rsidRDefault="005304DE" w:rsidP="00411D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DE3F9E" w:rsidRDefault="005304DE" w:rsidP="00411DA1">
            <w:pPr>
              <w:rPr>
                <w:sz w:val="20"/>
              </w:rPr>
            </w:pPr>
          </w:p>
          <w:p w:rsidR="008423E4" w:rsidRPr="00233FDB" w:rsidRDefault="005304DE" w:rsidP="00DE3F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DE3F9E" w:rsidRDefault="005304DE" w:rsidP="008423E4">
      <w:pPr>
        <w:rPr>
          <w:sz w:val="2"/>
        </w:rPr>
      </w:pPr>
    </w:p>
    <w:sectPr w:rsidR="004108C3" w:rsidRPr="00DE3F9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4DE">
      <w:r>
        <w:separator/>
      </w:r>
    </w:p>
  </w:endnote>
  <w:endnote w:type="continuationSeparator" w:id="0">
    <w:p w:rsidR="00000000" w:rsidRDefault="0053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12A6" w:rsidTr="009C1E9A">
      <w:trPr>
        <w:cantSplit/>
      </w:trPr>
      <w:tc>
        <w:tcPr>
          <w:tcW w:w="0" w:type="pct"/>
        </w:tcPr>
        <w:p w:rsidR="00137D90" w:rsidRDefault="005304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04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04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04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04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2A6" w:rsidTr="009C1E9A">
      <w:trPr>
        <w:cantSplit/>
      </w:trPr>
      <w:tc>
        <w:tcPr>
          <w:tcW w:w="0" w:type="pct"/>
        </w:tcPr>
        <w:p w:rsidR="00EC379B" w:rsidRDefault="005304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04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24437</w:t>
          </w:r>
        </w:p>
      </w:tc>
      <w:tc>
        <w:tcPr>
          <w:tcW w:w="2453" w:type="pct"/>
        </w:tcPr>
        <w:p w:rsidR="00EC379B" w:rsidRDefault="005304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19.95.662</w:t>
          </w:r>
          <w:r>
            <w:fldChar w:fldCharType="end"/>
          </w:r>
        </w:p>
      </w:tc>
    </w:tr>
    <w:tr w:rsidR="006D12A6" w:rsidTr="009C1E9A">
      <w:trPr>
        <w:cantSplit/>
      </w:trPr>
      <w:tc>
        <w:tcPr>
          <w:tcW w:w="0" w:type="pct"/>
        </w:tcPr>
        <w:p w:rsidR="00EC379B" w:rsidRDefault="005304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04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04DE" w:rsidP="006D504F">
          <w:pPr>
            <w:pStyle w:val="Footer"/>
            <w:rPr>
              <w:rStyle w:val="PageNumber"/>
            </w:rPr>
          </w:pPr>
        </w:p>
        <w:p w:rsidR="00EC379B" w:rsidRDefault="005304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2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04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04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04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4DE">
      <w:r>
        <w:separator/>
      </w:r>
    </w:p>
  </w:footnote>
  <w:footnote w:type="continuationSeparator" w:id="0">
    <w:p w:rsidR="00000000" w:rsidRDefault="0053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D51"/>
    <w:multiLevelType w:val="hybridMultilevel"/>
    <w:tmpl w:val="AA4C9648"/>
    <w:lvl w:ilvl="0" w:tplc="4FEA5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83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E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E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A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83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5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7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62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E9D"/>
    <w:multiLevelType w:val="hybridMultilevel"/>
    <w:tmpl w:val="F7784F74"/>
    <w:lvl w:ilvl="0" w:tplc="3CB0A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6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A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82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E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A3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2D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06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45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50B9"/>
    <w:multiLevelType w:val="hybridMultilevel"/>
    <w:tmpl w:val="3F68E9AC"/>
    <w:lvl w:ilvl="0" w:tplc="7FFEA8C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2FF4106E" w:tentative="1">
      <w:start w:val="1"/>
      <w:numFmt w:val="lowerLetter"/>
      <w:lvlText w:val="%2."/>
      <w:lvlJc w:val="left"/>
      <w:pPr>
        <w:ind w:left="1440" w:hanging="360"/>
      </w:pPr>
    </w:lvl>
    <w:lvl w:ilvl="2" w:tplc="CCD20AC0" w:tentative="1">
      <w:start w:val="1"/>
      <w:numFmt w:val="lowerRoman"/>
      <w:lvlText w:val="%3."/>
      <w:lvlJc w:val="right"/>
      <w:pPr>
        <w:ind w:left="2160" w:hanging="180"/>
      </w:pPr>
    </w:lvl>
    <w:lvl w:ilvl="3" w:tplc="A6BC1340" w:tentative="1">
      <w:start w:val="1"/>
      <w:numFmt w:val="decimal"/>
      <w:lvlText w:val="%4."/>
      <w:lvlJc w:val="left"/>
      <w:pPr>
        <w:ind w:left="2880" w:hanging="360"/>
      </w:pPr>
    </w:lvl>
    <w:lvl w:ilvl="4" w:tplc="E8B2B434" w:tentative="1">
      <w:start w:val="1"/>
      <w:numFmt w:val="lowerLetter"/>
      <w:lvlText w:val="%5."/>
      <w:lvlJc w:val="left"/>
      <w:pPr>
        <w:ind w:left="3600" w:hanging="360"/>
      </w:pPr>
    </w:lvl>
    <w:lvl w:ilvl="5" w:tplc="A662AB34" w:tentative="1">
      <w:start w:val="1"/>
      <w:numFmt w:val="lowerRoman"/>
      <w:lvlText w:val="%6."/>
      <w:lvlJc w:val="right"/>
      <w:pPr>
        <w:ind w:left="4320" w:hanging="180"/>
      </w:pPr>
    </w:lvl>
    <w:lvl w:ilvl="6" w:tplc="87149454" w:tentative="1">
      <w:start w:val="1"/>
      <w:numFmt w:val="decimal"/>
      <w:lvlText w:val="%7."/>
      <w:lvlJc w:val="left"/>
      <w:pPr>
        <w:ind w:left="5040" w:hanging="360"/>
      </w:pPr>
    </w:lvl>
    <w:lvl w:ilvl="7" w:tplc="DAB6FEB6" w:tentative="1">
      <w:start w:val="1"/>
      <w:numFmt w:val="lowerLetter"/>
      <w:lvlText w:val="%8."/>
      <w:lvlJc w:val="left"/>
      <w:pPr>
        <w:ind w:left="5760" w:hanging="360"/>
      </w:pPr>
    </w:lvl>
    <w:lvl w:ilvl="8" w:tplc="58C6F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41F"/>
    <w:multiLevelType w:val="hybridMultilevel"/>
    <w:tmpl w:val="2F5892F6"/>
    <w:lvl w:ilvl="0" w:tplc="38429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65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65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C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3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7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0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41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03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6"/>
    <w:rsid w:val="005304DE"/>
    <w:rsid w:val="006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280DB-50BF-4B23-A5E8-6B85E04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62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2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2188</Characters>
  <Application>Microsoft Office Word</Application>
  <DocSecurity>4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HB04309 (Committee Report (Unamended))</vt:lpstr>
    </vt:vector>
  </TitlesOfParts>
  <Company>State of Texas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24437</dc:subject>
  <dc:creator>State of Texas</dc:creator>
  <dc:description>HB 4309 by Zerwas-(H)State Affairs</dc:description>
  <cp:lastModifiedBy>Erin Conway</cp:lastModifiedBy>
  <cp:revision>2</cp:revision>
  <cp:lastPrinted>2003-11-26T17:21:00Z</cp:lastPrinted>
  <dcterms:created xsi:type="dcterms:W3CDTF">2019-04-24T16:44:00Z</dcterms:created>
  <dcterms:modified xsi:type="dcterms:W3CDTF">2019-04-24T16:44:00Z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19.95.662</vt:lpwstr>
  </property>
</Properties>
</file>