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05CB5" w:rsidTr="00345119">
        <w:tc>
          <w:tcPr>
            <w:tcW w:w="9576" w:type="dxa"/>
            <w:noWrap/>
          </w:tcPr>
          <w:p w:rsidR="008423E4" w:rsidRPr="0022177D" w:rsidRDefault="00CD281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D2818" w:rsidP="008423E4">
      <w:pPr>
        <w:jc w:val="center"/>
      </w:pPr>
    </w:p>
    <w:p w:rsidR="008423E4" w:rsidRPr="00B31F0E" w:rsidRDefault="00CD2818" w:rsidP="008423E4"/>
    <w:p w:rsidR="008423E4" w:rsidRPr="00742794" w:rsidRDefault="00CD281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05CB5" w:rsidTr="00345119">
        <w:tc>
          <w:tcPr>
            <w:tcW w:w="9576" w:type="dxa"/>
          </w:tcPr>
          <w:p w:rsidR="008423E4" w:rsidRPr="00861995" w:rsidRDefault="00CD2818" w:rsidP="00345119">
            <w:pPr>
              <w:jc w:val="right"/>
            </w:pPr>
            <w:r>
              <w:t>H.B. 4323</w:t>
            </w:r>
          </w:p>
        </w:tc>
      </w:tr>
      <w:tr w:rsidR="00A05CB5" w:rsidTr="00345119">
        <w:tc>
          <w:tcPr>
            <w:tcW w:w="9576" w:type="dxa"/>
          </w:tcPr>
          <w:p w:rsidR="008423E4" w:rsidRPr="00861995" w:rsidRDefault="00CD2818" w:rsidP="001875D4">
            <w:pPr>
              <w:jc w:val="right"/>
            </w:pPr>
            <w:r>
              <w:t xml:space="preserve">By: </w:t>
            </w:r>
            <w:r>
              <w:t>Reynolds</w:t>
            </w:r>
          </w:p>
        </w:tc>
      </w:tr>
      <w:tr w:rsidR="00A05CB5" w:rsidTr="00345119">
        <w:tc>
          <w:tcPr>
            <w:tcW w:w="9576" w:type="dxa"/>
          </w:tcPr>
          <w:p w:rsidR="008423E4" w:rsidRPr="00861995" w:rsidRDefault="00CD2818" w:rsidP="00345119">
            <w:pPr>
              <w:jc w:val="right"/>
            </w:pPr>
            <w:r>
              <w:t>Criminal Jurisprudence</w:t>
            </w:r>
          </w:p>
        </w:tc>
      </w:tr>
      <w:tr w:rsidR="00A05CB5" w:rsidTr="00345119">
        <w:tc>
          <w:tcPr>
            <w:tcW w:w="9576" w:type="dxa"/>
          </w:tcPr>
          <w:p w:rsidR="008423E4" w:rsidRDefault="00CD281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D2818" w:rsidP="008423E4">
      <w:pPr>
        <w:tabs>
          <w:tab w:val="right" w:pos="9360"/>
        </w:tabs>
      </w:pPr>
    </w:p>
    <w:p w:rsidR="008423E4" w:rsidRDefault="00CD2818" w:rsidP="008423E4"/>
    <w:p w:rsidR="008423E4" w:rsidRDefault="00CD281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05CB5" w:rsidTr="00345119">
        <w:tc>
          <w:tcPr>
            <w:tcW w:w="9576" w:type="dxa"/>
          </w:tcPr>
          <w:p w:rsidR="008423E4" w:rsidRPr="00A8133F" w:rsidRDefault="00CD2818" w:rsidP="00FD6C3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D2818" w:rsidP="00FD6C31"/>
          <w:p w:rsidR="008423E4" w:rsidRDefault="00CD2818" w:rsidP="00FD6C31">
            <w:pPr>
              <w:pStyle w:val="Header"/>
              <w:jc w:val="both"/>
            </w:pPr>
            <w:r>
              <w:t xml:space="preserve">Concerns have been raised regarding the </w:t>
            </w:r>
            <w:r>
              <w:t>privacy and confidentiality</w:t>
            </w:r>
            <w:r>
              <w:t xml:space="preserve"> o</w:t>
            </w:r>
            <w:r>
              <w:t>f information relating to</w:t>
            </w:r>
            <w:r>
              <w:t xml:space="preserve"> children who are victims of </w:t>
            </w:r>
            <w:r>
              <w:t xml:space="preserve">certain </w:t>
            </w:r>
            <w:r>
              <w:t xml:space="preserve">crimes. </w:t>
            </w:r>
            <w:r>
              <w:t xml:space="preserve">It has been suggested that </w:t>
            </w:r>
            <w:r>
              <w:t xml:space="preserve">there should be specific statutory protections for these </w:t>
            </w:r>
            <w:r>
              <w:t>child</w:t>
            </w:r>
            <w:r>
              <w:t>ren</w:t>
            </w:r>
            <w:r>
              <w:t xml:space="preserve"> </w:t>
            </w:r>
            <w:r>
              <w:t xml:space="preserve">from </w:t>
            </w:r>
            <w:r>
              <w:t xml:space="preserve">online disclosure of </w:t>
            </w:r>
            <w:r>
              <w:t xml:space="preserve">criminal </w:t>
            </w:r>
            <w:r>
              <w:t xml:space="preserve">court documents even </w:t>
            </w:r>
            <w:r>
              <w:t xml:space="preserve">after </w:t>
            </w:r>
            <w:r>
              <w:t xml:space="preserve">the criminal case is </w:t>
            </w:r>
            <w:r>
              <w:t>resolved</w:t>
            </w:r>
            <w:r>
              <w:t xml:space="preserve"> so that these child victims do not have to rely </w:t>
            </w:r>
            <w:r>
              <w:t>for pri</w:t>
            </w:r>
            <w:r>
              <w:t>vacy protection</w:t>
            </w:r>
            <w:r>
              <w:t xml:space="preserve"> on general privacy law and </w:t>
            </w:r>
            <w:r>
              <w:t>judicial procedures for sealing court records</w:t>
            </w:r>
            <w:r>
              <w:t xml:space="preserve">. </w:t>
            </w:r>
            <w:r>
              <w:t xml:space="preserve">To </w:t>
            </w:r>
            <w:r>
              <w:t xml:space="preserve">more closely </w:t>
            </w:r>
            <w:r>
              <w:t>align</w:t>
            </w:r>
            <w:r>
              <w:t xml:space="preserve"> </w:t>
            </w:r>
            <w:r>
              <w:t xml:space="preserve">privacy </w:t>
            </w:r>
            <w:r>
              <w:t>protections afforded to child victims of abuse and sexual assault with certain statutory protections affor</w:t>
            </w:r>
            <w:r>
              <w:t>d</w:t>
            </w:r>
            <w:r>
              <w:t>ed juvenile perpetrators</w:t>
            </w:r>
            <w:r>
              <w:t>,</w:t>
            </w:r>
            <w:r>
              <w:t xml:space="preserve"> H.B</w:t>
            </w:r>
            <w:r>
              <w:t>. 4323 seeks to address this issue by providing</w:t>
            </w:r>
            <w:r>
              <w:t xml:space="preserve"> for the confidentiality of identifying information of certain child victims</w:t>
            </w:r>
            <w:r>
              <w:t xml:space="preserve">. </w:t>
            </w:r>
          </w:p>
          <w:p w:rsidR="008423E4" w:rsidRPr="00E26B13" w:rsidRDefault="00CD2818" w:rsidP="00FD6C31">
            <w:pPr>
              <w:rPr>
                <w:b/>
              </w:rPr>
            </w:pPr>
          </w:p>
        </w:tc>
      </w:tr>
      <w:tr w:rsidR="00A05CB5" w:rsidTr="00345119">
        <w:tc>
          <w:tcPr>
            <w:tcW w:w="9576" w:type="dxa"/>
          </w:tcPr>
          <w:p w:rsidR="0017725B" w:rsidRDefault="00CD2818" w:rsidP="00FD6C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D2818" w:rsidP="00FD6C31">
            <w:pPr>
              <w:rPr>
                <w:b/>
                <w:u w:val="single"/>
              </w:rPr>
            </w:pPr>
          </w:p>
          <w:p w:rsidR="009A08F6" w:rsidRPr="009A08F6" w:rsidRDefault="00CD2818" w:rsidP="00FD6C31">
            <w:pPr>
              <w:jc w:val="both"/>
            </w:pPr>
            <w:r>
              <w:t>It is the committee's opinion that this bill expressly does one or more of the following: creates</w:t>
            </w:r>
            <w:r>
              <w:t xml:space="preserve"> a criminal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CD2818" w:rsidP="00FD6C31">
            <w:pPr>
              <w:rPr>
                <w:b/>
                <w:u w:val="single"/>
              </w:rPr>
            </w:pPr>
          </w:p>
        </w:tc>
      </w:tr>
      <w:tr w:rsidR="00A05CB5" w:rsidTr="00345119">
        <w:tc>
          <w:tcPr>
            <w:tcW w:w="9576" w:type="dxa"/>
          </w:tcPr>
          <w:p w:rsidR="008423E4" w:rsidRPr="00A8133F" w:rsidRDefault="00CD2818" w:rsidP="00FD6C3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D2818" w:rsidP="00FD6C31"/>
          <w:p w:rsidR="009A08F6" w:rsidRDefault="00CD2818" w:rsidP="00FD6C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CD2818" w:rsidP="00FD6C31">
            <w:pPr>
              <w:rPr>
                <w:b/>
              </w:rPr>
            </w:pPr>
          </w:p>
        </w:tc>
      </w:tr>
      <w:tr w:rsidR="00A05CB5" w:rsidTr="00345119">
        <w:tc>
          <w:tcPr>
            <w:tcW w:w="9576" w:type="dxa"/>
          </w:tcPr>
          <w:p w:rsidR="008423E4" w:rsidRPr="00A8133F" w:rsidRDefault="00CD2818" w:rsidP="00FD6C3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D2818" w:rsidP="00FD6C31"/>
          <w:p w:rsidR="008423E4" w:rsidRDefault="00CD2818" w:rsidP="00FD6C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4323 amends the Code of Criminal Procedure to require the office of the attorney general</w:t>
            </w:r>
            <w:r>
              <w:t>, not late</w:t>
            </w:r>
            <w:r>
              <w:t xml:space="preserve">r than October 1, 2019, </w:t>
            </w:r>
            <w:r>
              <w:t>t</w:t>
            </w:r>
            <w:r>
              <w:t xml:space="preserve">o develop and distribute to all </w:t>
            </w:r>
            <w:r>
              <w:t xml:space="preserve">state </w:t>
            </w:r>
            <w:r>
              <w:t xml:space="preserve">law </w:t>
            </w:r>
            <w:r w:rsidRPr="00426954">
              <w:t>enforcement agencies a pseudonym form to record the name, address, telephone nu</w:t>
            </w:r>
            <w:r>
              <w:t>mber, and pseudonym of a</w:t>
            </w:r>
            <w:r>
              <w:t xml:space="preserve"> child</w:t>
            </w:r>
            <w:r>
              <w:t xml:space="preserve"> victim</w:t>
            </w:r>
            <w:r w:rsidRPr="00426954">
              <w:t xml:space="preserve"> of</w:t>
            </w:r>
            <w:r>
              <w:t xml:space="preserve"> </w:t>
            </w:r>
            <w:r>
              <w:t>certain specified trafficking, sexual, or assaultive</w:t>
            </w:r>
            <w:r>
              <w:t xml:space="preserve"> offenses</w:t>
            </w:r>
            <w:r>
              <w:t xml:space="preserve"> or an o</w:t>
            </w:r>
            <w:r>
              <w:t xml:space="preserve">ffense that is part of the same criminal episode as </w:t>
            </w:r>
            <w:r>
              <w:t>one of those offenses.</w:t>
            </w:r>
            <w:r>
              <w:t xml:space="preserve"> </w:t>
            </w:r>
            <w:r>
              <w:t>The bill requires the</w:t>
            </w:r>
            <w:r w:rsidRPr="00931259">
              <w:t xml:space="preserve"> agency investigating the offense</w:t>
            </w:r>
            <w:r>
              <w:t xml:space="preserve"> to</w:t>
            </w:r>
            <w:r w:rsidRPr="00931259">
              <w:t xml:space="preserve"> offer the victim a pseudonym to be used instead of the victim's name to designate the victim in all public files and record</w:t>
            </w:r>
            <w:r w:rsidRPr="00931259">
              <w:t>s concerning the offense</w:t>
            </w:r>
            <w:r>
              <w:t>,</w:t>
            </w:r>
            <w:r>
              <w:t xml:space="preserve"> </w:t>
            </w:r>
            <w:r>
              <w:t>requires a</w:t>
            </w:r>
            <w:r w:rsidRPr="00931259">
              <w:t xml:space="preserve"> victim who elects to use a pseudonym </w:t>
            </w:r>
            <w:r>
              <w:t>to</w:t>
            </w:r>
            <w:r w:rsidRPr="00931259">
              <w:t xml:space="preserve"> </w:t>
            </w:r>
            <w:r>
              <w:t>complete a pseudonym form</w:t>
            </w:r>
            <w:r w:rsidRPr="00931259">
              <w:t xml:space="preserve"> and return the form to </w:t>
            </w:r>
            <w:r>
              <w:t>the</w:t>
            </w:r>
            <w:r w:rsidRPr="00931259">
              <w:t xml:space="preserve"> agency</w:t>
            </w:r>
            <w:r>
              <w:t>, and provides for the confidentiality of such a form</w:t>
            </w:r>
            <w:r w:rsidRPr="00931259">
              <w:t>.</w:t>
            </w:r>
            <w:r>
              <w:t xml:space="preserve"> The bill prohibits </w:t>
            </w:r>
            <w:r>
              <w:t xml:space="preserve">the compelling of such </w:t>
            </w:r>
            <w:r>
              <w:t xml:space="preserve">a </w:t>
            </w:r>
            <w:r>
              <w:t>victim</w:t>
            </w:r>
            <w:r>
              <w:t xml:space="preserve"> </w:t>
            </w:r>
            <w:r>
              <w:t xml:space="preserve">to disclose </w:t>
            </w:r>
            <w:r>
              <w:t>the victim's name, address, and telephone number in connection with the investigation or prosecution of the offense</w:t>
            </w:r>
            <w:r>
              <w:t xml:space="preserve"> but provides for </w:t>
            </w:r>
            <w:r>
              <w:t>a court</w:t>
            </w:r>
            <w:r>
              <w:t xml:space="preserve">'s limited </w:t>
            </w:r>
            <w:r>
              <w:t xml:space="preserve">disclosure of </w:t>
            </w:r>
            <w:r>
              <w:t xml:space="preserve">that </w:t>
            </w:r>
            <w:r>
              <w:t xml:space="preserve">information. </w:t>
            </w:r>
          </w:p>
          <w:p w:rsidR="00A907C0" w:rsidRDefault="00CD2818" w:rsidP="00FD6C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31A7E" w:rsidRDefault="00CD2818" w:rsidP="00FD6C31">
            <w:pPr>
              <w:pStyle w:val="Header"/>
              <w:jc w:val="both"/>
            </w:pPr>
            <w:r>
              <w:t xml:space="preserve">H.B. 4323 </w:t>
            </w:r>
            <w:r>
              <w:t xml:space="preserve">sets out requirements for </w:t>
            </w:r>
            <w:r>
              <w:t>a law enforcement agency</w:t>
            </w:r>
            <w:r>
              <w:t xml:space="preserve"> that recei</w:t>
            </w:r>
            <w:r>
              <w:t>ves</w:t>
            </w:r>
            <w:r>
              <w:t xml:space="preserve"> </w:t>
            </w:r>
            <w:r>
              <w:t>a victim's pseudonym</w:t>
            </w:r>
            <w:r>
              <w:t xml:space="preserve"> form</w:t>
            </w:r>
            <w:r>
              <w:t xml:space="preserve"> </w:t>
            </w:r>
            <w:r>
              <w:t xml:space="preserve">relating to the use of the pseudonym in agency documents, notification of the state's attorney, and maintaining the form and </w:t>
            </w:r>
            <w:r>
              <w:t xml:space="preserve">sets out </w:t>
            </w:r>
            <w:r>
              <w:t xml:space="preserve">related </w:t>
            </w:r>
            <w:r>
              <w:t>require</w:t>
            </w:r>
            <w:r>
              <w:t>ments</w:t>
            </w:r>
            <w:r>
              <w:t xml:space="preserve"> </w:t>
            </w:r>
            <w:r>
              <w:t>for the notified</w:t>
            </w:r>
            <w:r>
              <w:t xml:space="preserve"> attorney</w:t>
            </w:r>
            <w:r w:rsidRPr="00A907C0">
              <w:t>.</w:t>
            </w:r>
            <w:r>
              <w:t xml:space="preserve"> The bill</w:t>
            </w:r>
            <w:r>
              <w:t xml:space="preserve"> </w:t>
            </w:r>
            <w:r>
              <w:t>provides for the prohibited release</w:t>
            </w:r>
            <w:r>
              <w:t xml:space="preserve"> or disclosure </w:t>
            </w:r>
            <w:r>
              <w:t xml:space="preserve">by a public servant or other applicable person of the victim's identifying </w:t>
            </w:r>
            <w:r w:rsidRPr="002D2261">
              <w:t>information to any person who is not assisting in the investigation, prosecut</w:t>
            </w:r>
            <w:r>
              <w:t xml:space="preserve">ion, or defense of the case, </w:t>
            </w:r>
            <w:r>
              <w:t xml:space="preserve">with certain </w:t>
            </w:r>
            <w:r>
              <w:t>except</w:t>
            </w:r>
            <w:r>
              <w:t>ions</w:t>
            </w:r>
            <w:r>
              <w:t xml:space="preserve">. </w:t>
            </w:r>
          </w:p>
          <w:p w:rsidR="00431A7E" w:rsidRDefault="00CD2818" w:rsidP="00FD6C31">
            <w:pPr>
              <w:pStyle w:val="Header"/>
              <w:jc w:val="both"/>
            </w:pPr>
          </w:p>
          <w:p w:rsidR="002D2261" w:rsidRDefault="00CD2818" w:rsidP="00FD6C31">
            <w:pPr>
              <w:pStyle w:val="Header"/>
              <w:jc w:val="both"/>
            </w:pPr>
            <w:r>
              <w:t>H.B. 4323</w:t>
            </w:r>
            <w:r>
              <w:t xml:space="preserve"> creates a Class C misde</w:t>
            </w:r>
            <w:r>
              <w:t>meanor</w:t>
            </w:r>
            <w:r>
              <w:t xml:space="preserve"> offense for a public servant </w:t>
            </w:r>
            <w:r>
              <w:t xml:space="preserve">or other person </w:t>
            </w:r>
            <w:r>
              <w:t xml:space="preserve">who has </w:t>
            </w:r>
            <w:r>
              <w:t xml:space="preserve">access to </w:t>
            </w:r>
            <w:r>
              <w:t xml:space="preserve">or obtains, as applicable, </w:t>
            </w:r>
            <w:r w:rsidRPr="00087ED4">
              <w:t xml:space="preserve">the name, address, or telephone number </w:t>
            </w:r>
            <w:r>
              <w:t xml:space="preserve">of a victim </w:t>
            </w:r>
            <w:r>
              <w:t>with</w:t>
            </w:r>
            <w:r>
              <w:t xml:space="preserve"> a pseudonym and </w:t>
            </w:r>
            <w:r>
              <w:t xml:space="preserve">who </w:t>
            </w:r>
            <w:r>
              <w:t xml:space="preserve">knowingly </w:t>
            </w:r>
            <w:r>
              <w:t>discloses such information to any person who is not assisting in the inve</w:t>
            </w:r>
            <w:r>
              <w:t xml:space="preserve">stigation or prosecution of the offense or to any person other than the defendant, the defendant's attorney, or the person specified in </w:t>
            </w:r>
            <w:r>
              <w:t xml:space="preserve">an </w:t>
            </w:r>
            <w:r>
              <w:t>order of a court of competent jurisdiction</w:t>
            </w:r>
            <w:r>
              <w:t>, unless the disclosure is required or permitted by other law</w:t>
            </w:r>
            <w:r>
              <w:t xml:space="preserve">. The bill </w:t>
            </w:r>
            <w:r>
              <w:t>est</w:t>
            </w:r>
            <w:r>
              <w:t>ablishes</w:t>
            </w:r>
            <w:r>
              <w:t xml:space="preserve"> </w:t>
            </w:r>
            <w:r>
              <w:t xml:space="preserve">as </w:t>
            </w:r>
            <w:r>
              <w:t>an affirmative defense to prosecution</w:t>
            </w:r>
            <w:r>
              <w:t xml:space="preserve"> for such an offense</w:t>
            </w:r>
            <w:r>
              <w:t xml:space="preserve"> that the actor is the</w:t>
            </w:r>
            <w:r w:rsidRPr="00A7763D">
              <w:t xml:space="preserve"> victim or the victim's parent, conservator, or guardian, unless </w:t>
            </w:r>
            <w:r>
              <w:t>such person</w:t>
            </w:r>
            <w:r w:rsidRPr="00A7763D">
              <w:t xml:space="preserve"> allegedly committed the applicable offense</w:t>
            </w:r>
            <w:r>
              <w:t xml:space="preserve"> against the victim</w:t>
            </w:r>
            <w:r>
              <w:t xml:space="preserve">. </w:t>
            </w:r>
          </w:p>
          <w:p w:rsidR="008423E4" w:rsidRPr="00835628" w:rsidRDefault="00CD2818" w:rsidP="00FD6C31">
            <w:pPr>
              <w:rPr>
                <w:b/>
              </w:rPr>
            </w:pPr>
          </w:p>
        </w:tc>
      </w:tr>
      <w:tr w:rsidR="00A05CB5" w:rsidTr="00345119">
        <w:tc>
          <w:tcPr>
            <w:tcW w:w="9576" w:type="dxa"/>
          </w:tcPr>
          <w:p w:rsidR="008423E4" w:rsidRPr="00A8133F" w:rsidRDefault="00CD2818" w:rsidP="00FD6C3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D2818" w:rsidP="00FD6C31"/>
          <w:p w:rsidR="008423E4" w:rsidRPr="003624F2" w:rsidRDefault="00CD2818" w:rsidP="00FD6C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CD2818" w:rsidP="00FD6C31">
            <w:pPr>
              <w:rPr>
                <w:b/>
              </w:rPr>
            </w:pPr>
          </w:p>
        </w:tc>
      </w:tr>
    </w:tbl>
    <w:p w:rsidR="008423E4" w:rsidRPr="00BE0E75" w:rsidRDefault="00CD281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D281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2818">
      <w:r>
        <w:separator/>
      </w:r>
    </w:p>
  </w:endnote>
  <w:endnote w:type="continuationSeparator" w:id="0">
    <w:p w:rsidR="00000000" w:rsidRDefault="00CD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2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05CB5" w:rsidTr="009C1E9A">
      <w:trPr>
        <w:cantSplit/>
      </w:trPr>
      <w:tc>
        <w:tcPr>
          <w:tcW w:w="0" w:type="pct"/>
        </w:tcPr>
        <w:p w:rsidR="00137D90" w:rsidRDefault="00CD28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D28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D28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D28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D28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5CB5" w:rsidTr="009C1E9A">
      <w:trPr>
        <w:cantSplit/>
      </w:trPr>
      <w:tc>
        <w:tcPr>
          <w:tcW w:w="0" w:type="pct"/>
        </w:tcPr>
        <w:p w:rsidR="00EC379B" w:rsidRDefault="00CD28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D281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26499</w:t>
          </w:r>
        </w:p>
      </w:tc>
      <w:tc>
        <w:tcPr>
          <w:tcW w:w="2453" w:type="pct"/>
        </w:tcPr>
        <w:p w:rsidR="00EC379B" w:rsidRDefault="00CD28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19.103.435</w:t>
          </w:r>
          <w:r>
            <w:fldChar w:fldCharType="end"/>
          </w:r>
        </w:p>
      </w:tc>
    </w:tr>
    <w:tr w:rsidR="00A05CB5" w:rsidTr="009C1E9A">
      <w:trPr>
        <w:cantSplit/>
      </w:trPr>
      <w:tc>
        <w:tcPr>
          <w:tcW w:w="0" w:type="pct"/>
        </w:tcPr>
        <w:p w:rsidR="00EC379B" w:rsidRDefault="00CD28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D28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D2818" w:rsidP="006D504F">
          <w:pPr>
            <w:pStyle w:val="Footer"/>
            <w:rPr>
              <w:rStyle w:val="PageNumber"/>
            </w:rPr>
          </w:pPr>
        </w:p>
        <w:p w:rsidR="00EC379B" w:rsidRDefault="00CD28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5CB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D281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D281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D281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2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2818">
      <w:r>
        <w:separator/>
      </w:r>
    </w:p>
  </w:footnote>
  <w:footnote w:type="continuationSeparator" w:id="0">
    <w:p w:rsidR="00000000" w:rsidRDefault="00CD2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2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28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2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21ED"/>
    <w:multiLevelType w:val="hybridMultilevel"/>
    <w:tmpl w:val="5ACCDF7E"/>
    <w:lvl w:ilvl="0" w:tplc="95F69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3650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12D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E3D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E5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58D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4F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26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8AB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D6BFF"/>
    <w:multiLevelType w:val="hybridMultilevel"/>
    <w:tmpl w:val="C2BC4DA6"/>
    <w:lvl w:ilvl="0" w:tplc="38187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74D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4F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6A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62B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08E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8E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64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01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B5"/>
    <w:rsid w:val="00A05CB5"/>
    <w:rsid w:val="00C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2F38D8-464D-4397-82A4-2397BBF6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15E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5E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5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3204</Characters>
  <Application>Microsoft Office Word</Application>
  <DocSecurity>4</DocSecurity>
  <Lines>70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HB04323 (Committee Report (Unamended))</vt:lpstr>
    </vt:vector>
  </TitlesOfParts>
  <Company>State of Texas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26499</dc:subject>
  <dc:creator>State of Texas</dc:creator>
  <dc:description>HB 4323 by Reynolds-(H)Criminal Jurisprudence</dc:description>
  <cp:lastModifiedBy>Erin Conway</cp:lastModifiedBy>
  <cp:revision>2</cp:revision>
  <cp:lastPrinted>2003-11-26T17:21:00Z</cp:lastPrinted>
  <dcterms:created xsi:type="dcterms:W3CDTF">2019-05-02T00:57:00Z</dcterms:created>
  <dcterms:modified xsi:type="dcterms:W3CDTF">2019-05-02T00:57:00Z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19.103.435</vt:lpwstr>
  </property>
</Properties>
</file>