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104610" w:rsidTr="00345119">
        <w:tc>
          <w:tcPr>
            <w:tcW w:w="9576" w:type="dxa"/>
            <w:noWrap/>
          </w:tcPr>
          <w:p w:rsidR="008423E4" w:rsidRPr="0022177D" w:rsidRDefault="00072146" w:rsidP="00345119">
            <w:pPr>
              <w:pStyle w:val="Heading1"/>
            </w:pPr>
            <w:bookmarkStart w:id="0" w:name="_GoBack"/>
            <w:bookmarkEnd w:id="0"/>
            <w:r w:rsidRPr="00631897">
              <w:t>BILL ANALYSIS</w:t>
            </w:r>
          </w:p>
        </w:tc>
      </w:tr>
    </w:tbl>
    <w:p w:rsidR="008423E4" w:rsidRPr="0022177D" w:rsidRDefault="00072146" w:rsidP="008423E4">
      <w:pPr>
        <w:jc w:val="center"/>
      </w:pPr>
    </w:p>
    <w:p w:rsidR="008423E4" w:rsidRPr="00B31F0E" w:rsidRDefault="00072146" w:rsidP="008423E4"/>
    <w:p w:rsidR="008423E4" w:rsidRPr="00742794" w:rsidRDefault="00072146" w:rsidP="008423E4">
      <w:pPr>
        <w:tabs>
          <w:tab w:val="right" w:pos="9360"/>
        </w:tabs>
      </w:pPr>
    </w:p>
    <w:tbl>
      <w:tblPr>
        <w:tblW w:w="0" w:type="auto"/>
        <w:tblLayout w:type="fixed"/>
        <w:tblLook w:val="01E0" w:firstRow="1" w:lastRow="1" w:firstColumn="1" w:lastColumn="1" w:noHBand="0" w:noVBand="0"/>
      </w:tblPr>
      <w:tblGrid>
        <w:gridCol w:w="9576"/>
      </w:tblGrid>
      <w:tr w:rsidR="00104610" w:rsidTr="00345119">
        <w:tc>
          <w:tcPr>
            <w:tcW w:w="9576" w:type="dxa"/>
          </w:tcPr>
          <w:p w:rsidR="008423E4" w:rsidRPr="00861995" w:rsidRDefault="00072146" w:rsidP="00345119">
            <w:pPr>
              <w:jc w:val="right"/>
            </w:pPr>
            <w:r>
              <w:t>H.B. 4339</w:t>
            </w:r>
          </w:p>
        </w:tc>
      </w:tr>
      <w:tr w:rsidR="00104610" w:rsidTr="00345119">
        <w:tc>
          <w:tcPr>
            <w:tcW w:w="9576" w:type="dxa"/>
          </w:tcPr>
          <w:p w:rsidR="008423E4" w:rsidRPr="00861995" w:rsidRDefault="00072146" w:rsidP="002E18A0">
            <w:pPr>
              <w:jc w:val="right"/>
            </w:pPr>
            <w:r>
              <w:t xml:space="preserve">By: </w:t>
            </w:r>
            <w:r>
              <w:t>Bohac</w:t>
            </w:r>
          </w:p>
        </w:tc>
      </w:tr>
      <w:tr w:rsidR="00104610" w:rsidTr="00345119">
        <w:tc>
          <w:tcPr>
            <w:tcW w:w="9576" w:type="dxa"/>
          </w:tcPr>
          <w:p w:rsidR="008423E4" w:rsidRPr="00861995" w:rsidRDefault="00072146" w:rsidP="00345119">
            <w:pPr>
              <w:jc w:val="right"/>
            </w:pPr>
            <w:r>
              <w:t>County Affairs</w:t>
            </w:r>
          </w:p>
        </w:tc>
      </w:tr>
      <w:tr w:rsidR="00104610" w:rsidTr="00345119">
        <w:tc>
          <w:tcPr>
            <w:tcW w:w="9576" w:type="dxa"/>
          </w:tcPr>
          <w:p w:rsidR="008423E4" w:rsidRDefault="00072146" w:rsidP="00345119">
            <w:pPr>
              <w:jc w:val="right"/>
            </w:pPr>
            <w:r>
              <w:t>Committee Report (Unamended)</w:t>
            </w:r>
          </w:p>
        </w:tc>
      </w:tr>
    </w:tbl>
    <w:p w:rsidR="008423E4" w:rsidRDefault="00072146" w:rsidP="008423E4">
      <w:pPr>
        <w:tabs>
          <w:tab w:val="right" w:pos="9360"/>
        </w:tabs>
      </w:pPr>
    </w:p>
    <w:p w:rsidR="008423E4" w:rsidRDefault="00072146" w:rsidP="008423E4"/>
    <w:p w:rsidR="008423E4" w:rsidRDefault="00072146" w:rsidP="008423E4"/>
    <w:tbl>
      <w:tblPr>
        <w:tblW w:w="0" w:type="auto"/>
        <w:tblCellMar>
          <w:left w:w="115" w:type="dxa"/>
          <w:right w:w="115" w:type="dxa"/>
        </w:tblCellMar>
        <w:tblLook w:val="01E0" w:firstRow="1" w:lastRow="1" w:firstColumn="1" w:lastColumn="1" w:noHBand="0" w:noVBand="0"/>
      </w:tblPr>
      <w:tblGrid>
        <w:gridCol w:w="9576"/>
      </w:tblGrid>
      <w:tr w:rsidR="00104610" w:rsidTr="00345119">
        <w:tc>
          <w:tcPr>
            <w:tcW w:w="9576" w:type="dxa"/>
          </w:tcPr>
          <w:p w:rsidR="008423E4" w:rsidRPr="00A8133F" w:rsidRDefault="00072146" w:rsidP="003C71D4">
            <w:pPr>
              <w:rPr>
                <w:b/>
              </w:rPr>
            </w:pPr>
            <w:r w:rsidRPr="009C1E9A">
              <w:rPr>
                <w:b/>
                <w:u w:val="single"/>
              </w:rPr>
              <w:t>BACKGROUND AND PURPOSE</w:t>
            </w:r>
            <w:r>
              <w:rPr>
                <w:b/>
              </w:rPr>
              <w:t xml:space="preserve"> </w:t>
            </w:r>
          </w:p>
          <w:p w:rsidR="008423E4" w:rsidRDefault="00072146" w:rsidP="003C71D4"/>
          <w:p w:rsidR="008423E4" w:rsidRDefault="00072146" w:rsidP="003C71D4">
            <w:pPr>
              <w:pStyle w:val="Header"/>
              <w:jc w:val="both"/>
            </w:pPr>
            <w:r>
              <w:t>T</w:t>
            </w:r>
            <w:r>
              <w:t>he federal Fair Labor Standards Act</w:t>
            </w:r>
            <w:r>
              <w:t xml:space="preserve"> of 1938</w:t>
            </w:r>
            <w:r>
              <w:t>,</w:t>
            </w:r>
            <w:r>
              <w:t xml:space="preserve"> </w:t>
            </w:r>
            <w:r>
              <w:t>which</w:t>
            </w:r>
            <w:r>
              <w:t xml:space="preserve"> comprehensively regulates work periods, maximum hours, overtime, and comp</w:t>
            </w:r>
            <w:r>
              <w:t>ensatory</w:t>
            </w:r>
            <w:r>
              <w:t xml:space="preserve"> time</w:t>
            </w:r>
            <w:r>
              <w:t>,</w:t>
            </w:r>
            <w:r>
              <w:t xml:space="preserve"> has special scheduling rules for peace officers</w:t>
            </w:r>
            <w:r>
              <w:t>. It has been noted that</w:t>
            </w:r>
            <w:r>
              <w:t xml:space="preserve"> </w:t>
            </w:r>
            <w:r>
              <w:t>state law prohibits a county with a population of more than one million from requiring its peace officers to work more hours during a calendar week than the number of hours in the nor</w:t>
            </w:r>
            <w:r>
              <w:t>mal work week of the majority of other county employees. It has been suggested that this prohibition interferes with the ability of sheriffs in larger counties to recruit and retain deputy sheriffs because an increasing number of these deputies prefer to w</w:t>
            </w:r>
            <w:r>
              <w:t xml:space="preserve">ork 12-hour shifts. H.B. 4339 seeks to provide </w:t>
            </w:r>
            <w:r>
              <w:t>necessary</w:t>
            </w:r>
            <w:r>
              <w:t xml:space="preserve"> scheduling flexibility for peace officers in these counties.</w:t>
            </w:r>
          </w:p>
          <w:p w:rsidR="008423E4" w:rsidRPr="00E26B13" w:rsidRDefault="00072146" w:rsidP="003C71D4">
            <w:pPr>
              <w:rPr>
                <w:b/>
              </w:rPr>
            </w:pPr>
          </w:p>
        </w:tc>
      </w:tr>
      <w:tr w:rsidR="00104610" w:rsidTr="00345119">
        <w:tc>
          <w:tcPr>
            <w:tcW w:w="9576" w:type="dxa"/>
          </w:tcPr>
          <w:p w:rsidR="0017725B" w:rsidRDefault="00072146" w:rsidP="003C71D4">
            <w:pPr>
              <w:rPr>
                <w:b/>
                <w:u w:val="single"/>
              </w:rPr>
            </w:pPr>
            <w:r>
              <w:rPr>
                <w:b/>
                <w:u w:val="single"/>
              </w:rPr>
              <w:t>CRIMINAL JUSTICE IMPACT</w:t>
            </w:r>
          </w:p>
          <w:p w:rsidR="0017725B" w:rsidRDefault="00072146" w:rsidP="003C71D4">
            <w:pPr>
              <w:rPr>
                <w:b/>
                <w:u w:val="single"/>
              </w:rPr>
            </w:pPr>
          </w:p>
          <w:p w:rsidR="005E0FB2" w:rsidRPr="005E0FB2" w:rsidRDefault="00072146" w:rsidP="003C71D4">
            <w:pPr>
              <w:jc w:val="both"/>
            </w:pPr>
            <w:r>
              <w:t>It is the committee's opinion that this bill does not expressly create a criminal offense, increase the punishm</w:t>
            </w:r>
            <w:r>
              <w:t>ent for an existing criminal offense or category of offenses, or change the eligibility of a person for community supervision, parole, or mandatory supervision.</w:t>
            </w:r>
          </w:p>
          <w:p w:rsidR="0017725B" w:rsidRPr="0017725B" w:rsidRDefault="00072146" w:rsidP="003C71D4">
            <w:pPr>
              <w:rPr>
                <w:b/>
                <w:u w:val="single"/>
              </w:rPr>
            </w:pPr>
          </w:p>
        </w:tc>
      </w:tr>
      <w:tr w:rsidR="00104610" w:rsidTr="00345119">
        <w:tc>
          <w:tcPr>
            <w:tcW w:w="9576" w:type="dxa"/>
          </w:tcPr>
          <w:p w:rsidR="008423E4" w:rsidRPr="00A8133F" w:rsidRDefault="00072146" w:rsidP="003C71D4">
            <w:pPr>
              <w:rPr>
                <w:b/>
              </w:rPr>
            </w:pPr>
            <w:r w:rsidRPr="009C1E9A">
              <w:rPr>
                <w:b/>
                <w:u w:val="single"/>
              </w:rPr>
              <w:t>RULEMAKING AUTHORITY</w:t>
            </w:r>
            <w:r>
              <w:rPr>
                <w:b/>
              </w:rPr>
              <w:t xml:space="preserve"> </w:t>
            </w:r>
          </w:p>
          <w:p w:rsidR="008423E4" w:rsidRDefault="00072146" w:rsidP="003C71D4"/>
          <w:p w:rsidR="005E0FB2" w:rsidRDefault="00072146" w:rsidP="003C71D4">
            <w:pPr>
              <w:pStyle w:val="Header"/>
              <w:tabs>
                <w:tab w:val="clear" w:pos="4320"/>
                <w:tab w:val="clear" w:pos="8640"/>
              </w:tabs>
              <w:jc w:val="both"/>
            </w:pPr>
            <w:r>
              <w:t xml:space="preserve">It is the committee's opinion that this bill does not expressly grant </w:t>
            </w:r>
            <w:r>
              <w:t>any additional rulemaking authority to a state officer, department, agency, or institution.</w:t>
            </w:r>
          </w:p>
          <w:p w:rsidR="008423E4" w:rsidRPr="00E21FDC" w:rsidRDefault="00072146" w:rsidP="003C71D4">
            <w:pPr>
              <w:rPr>
                <w:b/>
              </w:rPr>
            </w:pPr>
          </w:p>
        </w:tc>
      </w:tr>
      <w:tr w:rsidR="00104610" w:rsidTr="00345119">
        <w:tc>
          <w:tcPr>
            <w:tcW w:w="9576" w:type="dxa"/>
          </w:tcPr>
          <w:p w:rsidR="008423E4" w:rsidRPr="00A8133F" w:rsidRDefault="00072146" w:rsidP="003C71D4">
            <w:pPr>
              <w:rPr>
                <w:b/>
              </w:rPr>
            </w:pPr>
            <w:r w:rsidRPr="009C1E9A">
              <w:rPr>
                <w:b/>
                <w:u w:val="single"/>
              </w:rPr>
              <w:t>ANALYSIS</w:t>
            </w:r>
            <w:r>
              <w:rPr>
                <w:b/>
              </w:rPr>
              <w:t xml:space="preserve"> </w:t>
            </w:r>
          </w:p>
          <w:p w:rsidR="008423E4" w:rsidRDefault="00072146" w:rsidP="003C71D4"/>
          <w:p w:rsidR="008423E4" w:rsidRDefault="00072146" w:rsidP="003C71D4">
            <w:pPr>
              <w:pStyle w:val="Header"/>
              <w:tabs>
                <w:tab w:val="clear" w:pos="4320"/>
                <w:tab w:val="clear" w:pos="8640"/>
              </w:tabs>
              <w:jc w:val="both"/>
            </w:pPr>
            <w:r>
              <w:t xml:space="preserve">H.B. 4339 amends the Local Government Code to establish that </w:t>
            </w:r>
            <w:r>
              <w:t>provisions regulating the hour</w:t>
            </w:r>
            <w:r>
              <w:t>s</w:t>
            </w:r>
            <w:r>
              <w:t xml:space="preserve"> of work of county employees do not limit </w:t>
            </w:r>
            <w:r>
              <w:t xml:space="preserve">the authority of </w:t>
            </w:r>
            <w:r>
              <w:t xml:space="preserve">a county </w:t>
            </w:r>
            <w:r>
              <w:t>commissioners court to adopt or enforce a work period of up to 28 days for peace officers employed by the county in accordance with the federal Fair Labor Standards Act of 1938. The bill establishes that provision</w:t>
            </w:r>
            <w:r>
              <w:t>s</w:t>
            </w:r>
            <w:r>
              <w:t xml:space="preserve"> </w:t>
            </w:r>
            <w:r>
              <w:t xml:space="preserve">regulating the work hours of </w:t>
            </w:r>
            <w:r>
              <w:t>pea</w:t>
            </w:r>
            <w:r>
              <w:t>ce officers in counties of more than one million do not apply to a peace officer commissioned by a</w:t>
            </w:r>
            <w:r>
              <w:t>n applicable</w:t>
            </w:r>
            <w:r>
              <w:t xml:space="preserve"> county that has adopted a work period of longer than seven days for those peace officers in accordance with </w:t>
            </w:r>
            <w:r>
              <w:t>that act</w:t>
            </w:r>
            <w:r>
              <w:t xml:space="preserve">. </w:t>
            </w:r>
          </w:p>
          <w:p w:rsidR="008423E4" w:rsidRPr="00835628" w:rsidRDefault="00072146" w:rsidP="003C71D4">
            <w:pPr>
              <w:rPr>
                <w:b/>
              </w:rPr>
            </w:pPr>
          </w:p>
        </w:tc>
      </w:tr>
      <w:tr w:rsidR="00104610" w:rsidTr="00345119">
        <w:tc>
          <w:tcPr>
            <w:tcW w:w="9576" w:type="dxa"/>
          </w:tcPr>
          <w:p w:rsidR="008423E4" w:rsidRPr="00A8133F" w:rsidRDefault="00072146" w:rsidP="003C71D4">
            <w:pPr>
              <w:rPr>
                <w:b/>
              </w:rPr>
            </w:pPr>
            <w:r w:rsidRPr="009C1E9A">
              <w:rPr>
                <w:b/>
                <w:u w:val="single"/>
              </w:rPr>
              <w:t>EFFECTIVE DATE</w:t>
            </w:r>
            <w:r>
              <w:rPr>
                <w:b/>
              </w:rPr>
              <w:t xml:space="preserve"> </w:t>
            </w:r>
          </w:p>
          <w:p w:rsidR="008423E4" w:rsidRDefault="00072146" w:rsidP="003C71D4"/>
          <w:p w:rsidR="008423E4" w:rsidRPr="003624F2" w:rsidRDefault="00072146" w:rsidP="003C71D4">
            <w:pPr>
              <w:pStyle w:val="Header"/>
              <w:tabs>
                <w:tab w:val="clear" w:pos="4320"/>
                <w:tab w:val="clear" w:pos="8640"/>
              </w:tabs>
              <w:jc w:val="both"/>
            </w:pPr>
            <w:r>
              <w:t>Septemb</w:t>
            </w:r>
            <w:r>
              <w:t>er 1, 2019.</w:t>
            </w:r>
          </w:p>
          <w:p w:rsidR="008423E4" w:rsidRPr="00233FDB" w:rsidRDefault="00072146" w:rsidP="003C71D4">
            <w:pPr>
              <w:rPr>
                <w:b/>
              </w:rPr>
            </w:pPr>
          </w:p>
        </w:tc>
      </w:tr>
    </w:tbl>
    <w:p w:rsidR="008423E4" w:rsidRPr="00BE0E75" w:rsidRDefault="00072146" w:rsidP="008423E4">
      <w:pPr>
        <w:spacing w:line="480" w:lineRule="auto"/>
        <w:jc w:val="both"/>
        <w:rPr>
          <w:rFonts w:ascii="Arial" w:hAnsi="Arial"/>
          <w:sz w:val="16"/>
          <w:szCs w:val="16"/>
        </w:rPr>
      </w:pPr>
    </w:p>
    <w:p w:rsidR="004108C3" w:rsidRPr="008423E4" w:rsidRDefault="00072146"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72146">
      <w:r>
        <w:separator/>
      </w:r>
    </w:p>
  </w:endnote>
  <w:endnote w:type="continuationSeparator" w:id="0">
    <w:p w:rsidR="00000000" w:rsidRDefault="0007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72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04610" w:rsidTr="009C1E9A">
      <w:trPr>
        <w:cantSplit/>
      </w:trPr>
      <w:tc>
        <w:tcPr>
          <w:tcW w:w="0" w:type="pct"/>
        </w:tcPr>
        <w:p w:rsidR="00137D90" w:rsidRDefault="00072146" w:rsidP="009C1E9A">
          <w:pPr>
            <w:pStyle w:val="Footer"/>
            <w:tabs>
              <w:tab w:val="clear" w:pos="8640"/>
              <w:tab w:val="right" w:pos="9360"/>
            </w:tabs>
          </w:pPr>
        </w:p>
      </w:tc>
      <w:tc>
        <w:tcPr>
          <w:tcW w:w="2395" w:type="pct"/>
        </w:tcPr>
        <w:p w:rsidR="00137D90" w:rsidRDefault="00072146" w:rsidP="009C1E9A">
          <w:pPr>
            <w:pStyle w:val="Footer"/>
            <w:tabs>
              <w:tab w:val="clear" w:pos="8640"/>
              <w:tab w:val="right" w:pos="9360"/>
            </w:tabs>
          </w:pPr>
        </w:p>
        <w:p w:rsidR="001A4310" w:rsidRDefault="00072146" w:rsidP="009C1E9A">
          <w:pPr>
            <w:pStyle w:val="Footer"/>
            <w:tabs>
              <w:tab w:val="clear" w:pos="8640"/>
              <w:tab w:val="right" w:pos="9360"/>
            </w:tabs>
          </w:pPr>
        </w:p>
        <w:p w:rsidR="00137D90" w:rsidRDefault="00072146" w:rsidP="009C1E9A">
          <w:pPr>
            <w:pStyle w:val="Footer"/>
            <w:tabs>
              <w:tab w:val="clear" w:pos="8640"/>
              <w:tab w:val="right" w:pos="9360"/>
            </w:tabs>
          </w:pPr>
        </w:p>
      </w:tc>
      <w:tc>
        <w:tcPr>
          <w:tcW w:w="2453" w:type="pct"/>
        </w:tcPr>
        <w:p w:rsidR="00137D90" w:rsidRDefault="00072146" w:rsidP="009C1E9A">
          <w:pPr>
            <w:pStyle w:val="Footer"/>
            <w:tabs>
              <w:tab w:val="clear" w:pos="8640"/>
              <w:tab w:val="right" w:pos="9360"/>
            </w:tabs>
            <w:jc w:val="right"/>
          </w:pPr>
        </w:p>
      </w:tc>
    </w:tr>
    <w:tr w:rsidR="00104610" w:rsidTr="009C1E9A">
      <w:trPr>
        <w:cantSplit/>
      </w:trPr>
      <w:tc>
        <w:tcPr>
          <w:tcW w:w="0" w:type="pct"/>
        </w:tcPr>
        <w:p w:rsidR="00EC379B" w:rsidRDefault="00072146" w:rsidP="009C1E9A">
          <w:pPr>
            <w:pStyle w:val="Footer"/>
            <w:tabs>
              <w:tab w:val="clear" w:pos="8640"/>
              <w:tab w:val="right" w:pos="9360"/>
            </w:tabs>
          </w:pPr>
        </w:p>
      </w:tc>
      <w:tc>
        <w:tcPr>
          <w:tcW w:w="2395" w:type="pct"/>
        </w:tcPr>
        <w:p w:rsidR="00EC379B" w:rsidRPr="009C1E9A" w:rsidRDefault="00072146" w:rsidP="009C1E9A">
          <w:pPr>
            <w:pStyle w:val="Footer"/>
            <w:tabs>
              <w:tab w:val="clear" w:pos="8640"/>
              <w:tab w:val="right" w:pos="9360"/>
            </w:tabs>
            <w:rPr>
              <w:rFonts w:ascii="Shruti" w:hAnsi="Shruti"/>
              <w:sz w:val="22"/>
            </w:rPr>
          </w:pPr>
          <w:r>
            <w:rPr>
              <w:rFonts w:ascii="Shruti" w:hAnsi="Shruti"/>
              <w:sz w:val="22"/>
            </w:rPr>
            <w:t>86R 27550</w:t>
          </w:r>
        </w:p>
      </w:tc>
      <w:tc>
        <w:tcPr>
          <w:tcW w:w="2453" w:type="pct"/>
        </w:tcPr>
        <w:p w:rsidR="00EC379B" w:rsidRDefault="00072146" w:rsidP="009C1E9A">
          <w:pPr>
            <w:pStyle w:val="Footer"/>
            <w:tabs>
              <w:tab w:val="clear" w:pos="8640"/>
              <w:tab w:val="right" w:pos="9360"/>
            </w:tabs>
            <w:jc w:val="right"/>
          </w:pPr>
          <w:r>
            <w:fldChar w:fldCharType="begin"/>
          </w:r>
          <w:r>
            <w:instrText xml:space="preserve"> DOCPROPERTY  OTID  \* MERGEFORMAT </w:instrText>
          </w:r>
          <w:r>
            <w:fldChar w:fldCharType="separate"/>
          </w:r>
          <w:r>
            <w:t>19.106.1633</w:t>
          </w:r>
          <w:r>
            <w:fldChar w:fldCharType="end"/>
          </w:r>
        </w:p>
      </w:tc>
    </w:tr>
    <w:tr w:rsidR="00104610" w:rsidTr="009C1E9A">
      <w:trPr>
        <w:cantSplit/>
      </w:trPr>
      <w:tc>
        <w:tcPr>
          <w:tcW w:w="0" w:type="pct"/>
        </w:tcPr>
        <w:p w:rsidR="00EC379B" w:rsidRDefault="00072146" w:rsidP="009C1E9A">
          <w:pPr>
            <w:pStyle w:val="Footer"/>
            <w:tabs>
              <w:tab w:val="clear" w:pos="4320"/>
              <w:tab w:val="clear" w:pos="8640"/>
              <w:tab w:val="left" w:pos="2865"/>
            </w:tabs>
          </w:pPr>
        </w:p>
      </w:tc>
      <w:tc>
        <w:tcPr>
          <w:tcW w:w="2395" w:type="pct"/>
        </w:tcPr>
        <w:p w:rsidR="00EC379B" w:rsidRPr="009C1E9A" w:rsidRDefault="00072146" w:rsidP="009C1E9A">
          <w:pPr>
            <w:pStyle w:val="Footer"/>
            <w:tabs>
              <w:tab w:val="clear" w:pos="4320"/>
              <w:tab w:val="clear" w:pos="8640"/>
              <w:tab w:val="left" w:pos="2865"/>
            </w:tabs>
            <w:rPr>
              <w:rFonts w:ascii="Shruti" w:hAnsi="Shruti"/>
              <w:sz w:val="22"/>
            </w:rPr>
          </w:pPr>
        </w:p>
      </w:tc>
      <w:tc>
        <w:tcPr>
          <w:tcW w:w="2453" w:type="pct"/>
        </w:tcPr>
        <w:p w:rsidR="00EC379B" w:rsidRDefault="00072146" w:rsidP="006D504F">
          <w:pPr>
            <w:pStyle w:val="Footer"/>
            <w:rPr>
              <w:rStyle w:val="PageNumber"/>
            </w:rPr>
          </w:pPr>
        </w:p>
        <w:p w:rsidR="00EC379B" w:rsidRDefault="00072146" w:rsidP="009C1E9A">
          <w:pPr>
            <w:pStyle w:val="Footer"/>
            <w:tabs>
              <w:tab w:val="clear" w:pos="8640"/>
              <w:tab w:val="right" w:pos="9360"/>
            </w:tabs>
            <w:jc w:val="right"/>
          </w:pPr>
        </w:p>
      </w:tc>
    </w:tr>
    <w:tr w:rsidR="00104610" w:rsidTr="009C1E9A">
      <w:trPr>
        <w:cantSplit/>
        <w:trHeight w:val="323"/>
      </w:trPr>
      <w:tc>
        <w:tcPr>
          <w:tcW w:w="0" w:type="pct"/>
          <w:gridSpan w:val="3"/>
        </w:tcPr>
        <w:p w:rsidR="00EC379B" w:rsidRDefault="0007214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72146" w:rsidP="009C1E9A">
          <w:pPr>
            <w:pStyle w:val="Footer"/>
            <w:tabs>
              <w:tab w:val="clear" w:pos="8640"/>
              <w:tab w:val="right" w:pos="9360"/>
            </w:tabs>
            <w:jc w:val="center"/>
          </w:pPr>
        </w:p>
      </w:tc>
    </w:tr>
  </w:tbl>
  <w:p w:rsidR="00EC379B" w:rsidRPr="00FF6F72" w:rsidRDefault="00072146"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72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72146">
      <w:r>
        <w:separator/>
      </w:r>
    </w:p>
  </w:footnote>
  <w:footnote w:type="continuationSeparator" w:id="0">
    <w:p w:rsidR="00000000" w:rsidRDefault="00072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72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721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721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610"/>
    <w:rsid w:val="00072146"/>
    <w:rsid w:val="00104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535687-CC92-4927-A09A-93C88A9A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E0FB2"/>
    <w:rPr>
      <w:sz w:val="16"/>
      <w:szCs w:val="16"/>
    </w:rPr>
  </w:style>
  <w:style w:type="paragraph" w:styleId="CommentText">
    <w:name w:val="annotation text"/>
    <w:basedOn w:val="Normal"/>
    <w:link w:val="CommentTextChar"/>
    <w:semiHidden/>
    <w:unhideWhenUsed/>
    <w:rsid w:val="005E0FB2"/>
    <w:rPr>
      <w:sz w:val="20"/>
      <w:szCs w:val="20"/>
    </w:rPr>
  </w:style>
  <w:style w:type="character" w:customStyle="1" w:styleId="CommentTextChar">
    <w:name w:val="Comment Text Char"/>
    <w:basedOn w:val="DefaultParagraphFont"/>
    <w:link w:val="CommentText"/>
    <w:semiHidden/>
    <w:rsid w:val="005E0FB2"/>
  </w:style>
  <w:style w:type="paragraph" w:styleId="CommentSubject">
    <w:name w:val="annotation subject"/>
    <w:basedOn w:val="CommentText"/>
    <w:next w:val="CommentText"/>
    <w:link w:val="CommentSubjectChar"/>
    <w:semiHidden/>
    <w:unhideWhenUsed/>
    <w:rsid w:val="005E0FB2"/>
    <w:rPr>
      <w:b/>
      <w:bCs/>
    </w:rPr>
  </w:style>
  <w:style w:type="character" w:customStyle="1" w:styleId="CommentSubjectChar">
    <w:name w:val="Comment Subject Char"/>
    <w:basedOn w:val="CommentTextChar"/>
    <w:link w:val="CommentSubject"/>
    <w:semiHidden/>
    <w:rsid w:val="005E0FB2"/>
    <w:rPr>
      <w:b/>
      <w:bCs/>
    </w:rPr>
  </w:style>
  <w:style w:type="paragraph" w:styleId="Revision">
    <w:name w:val="Revision"/>
    <w:hidden/>
    <w:uiPriority w:val="99"/>
    <w:semiHidden/>
    <w:rsid w:val="005E0F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1706</Characters>
  <Application>Microsoft Office Word</Application>
  <DocSecurity>4</DocSecurity>
  <Lines>49</Lines>
  <Paragraphs>15</Paragraphs>
  <ScaleCrop>false</ScaleCrop>
  <HeadingPairs>
    <vt:vector size="2" baseType="variant">
      <vt:variant>
        <vt:lpstr>Title</vt:lpstr>
      </vt:variant>
      <vt:variant>
        <vt:i4>1</vt:i4>
      </vt:variant>
    </vt:vector>
  </HeadingPairs>
  <TitlesOfParts>
    <vt:vector size="1" baseType="lpstr">
      <vt:lpstr>BA - HB04339 (Committee Report (Unamended))</vt:lpstr>
    </vt:vector>
  </TitlesOfParts>
  <Company>State of Texas</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27550</dc:subject>
  <dc:creator>State of Texas</dc:creator>
  <dc:description>HB 4339 by Bohac-(H)County Affairs</dc:description>
  <cp:lastModifiedBy>Stacey Nicchio</cp:lastModifiedBy>
  <cp:revision>2</cp:revision>
  <cp:lastPrinted>2003-11-26T17:21:00Z</cp:lastPrinted>
  <dcterms:created xsi:type="dcterms:W3CDTF">2019-04-28T19:18:00Z</dcterms:created>
  <dcterms:modified xsi:type="dcterms:W3CDTF">2019-04-28T19:18:00Z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19.106.1633</vt:lpwstr>
  </property>
</Properties>
</file>