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1E83" w:rsidTr="00345119">
        <w:tc>
          <w:tcPr>
            <w:tcW w:w="9576" w:type="dxa"/>
            <w:noWrap/>
          </w:tcPr>
          <w:p w:rsidR="008423E4" w:rsidRPr="0022177D" w:rsidRDefault="00A169D5" w:rsidP="00345119">
            <w:pPr>
              <w:pStyle w:val="Heading1"/>
            </w:pPr>
            <w:bookmarkStart w:id="0" w:name="_GoBack"/>
            <w:bookmarkEnd w:id="0"/>
            <w:r>
              <w:t>B</w:t>
            </w:r>
            <w:r w:rsidRPr="00631897">
              <w:t>ILL ANALYSIS</w:t>
            </w:r>
          </w:p>
        </w:tc>
      </w:tr>
    </w:tbl>
    <w:p w:rsidR="008423E4" w:rsidRPr="0022177D" w:rsidRDefault="00A169D5" w:rsidP="008423E4">
      <w:pPr>
        <w:jc w:val="center"/>
      </w:pPr>
    </w:p>
    <w:p w:rsidR="008423E4" w:rsidRPr="00B31F0E" w:rsidRDefault="00A169D5" w:rsidP="008423E4"/>
    <w:p w:rsidR="008423E4" w:rsidRPr="00742794" w:rsidRDefault="00A169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1E83" w:rsidTr="00345119">
        <w:tc>
          <w:tcPr>
            <w:tcW w:w="9576" w:type="dxa"/>
          </w:tcPr>
          <w:p w:rsidR="008423E4" w:rsidRPr="00861995" w:rsidRDefault="00A169D5" w:rsidP="00345119">
            <w:pPr>
              <w:jc w:val="right"/>
            </w:pPr>
            <w:r>
              <w:t>C.S.H.B. 4345</w:t>
            </w:r>
          </w:p>
        </w:tc>
      </w:tr>
      <w:tr w:rsidR="004F1E83" w:rsidTr="00345119">
        <w:tc>
          <w:tcPr>
            <w:tcW w:w="9576" w:type="dxa"/>
          </w:tcPr>
          <w:p w:rsidR="008423E4" w:rsidRPr="00861995" w:rsidRDefault="00A169D5" w:rsidP="00437A4A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4F1E83" w:rsidTr="00345119">
        <w:tc>
          <w:tcPr>
            <w:tcW w:w="9576" w:type="dxa"/>
          </w:tcPr>
          <w:p w:rsidR="008423E4" w:rsidRPr="00861995" w:rsidRDefault="00A169D5" w:rsidP="00345119">
            <w:pPr>
              <w:jc w:val="right"/>
            </w:pPr>
            <w:r>
              <w:t>Judiciary &amp; Civil Jurisprudence</w:t>
            </w:r>
          </w:p>
        </w:tc>
      </w:tr>
      <w:tr w:rsidR="004F1E83" w:rsidTr="00345119">
        <w:tc>
          <w:tcPr>
            <w:tcW w:w="9576" w:type="dxa"/>
          </w:tcPr>
          <w:p w:rsidR="008423E4" w:rsidRDefault="00A169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169D5" w:rsidP="008423E4">
      <w:pPr>
        <w:tabs>
          <w:tab w:val="right" w:pos="9360"/>
        </w:tabs>
      </w:pPr>
    </w:p>
    <w:p w:rsidR="008423E4" w:rsidRDefault="00A169D5" w:rsidP="008423E4"/>
    <w:p w:rsidR="008423E4" w:rsidRDefault="00A169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1E83" w:rsidTr="00345119">
        <w:tc>
          <w:tcPr>
            <w:tcW w:w="9576" w:type="dxa"/>
          </w:tcPr>
          <w:p w:rsidR="008423E4" w:rsidRPr="00A8133F" w:rsidRDefault="00A169D5" w:rsidP="007675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69D5" w:rsidP="0076751F"/>
          <w:p w:rsidR="008423E4" w:rsidRDefault="00A169D5" w:rsidP="0076751F">
            <w:pPr>
              <w:pStyle w:val="Header"/>
              <w:jc w:val="both"/>
            </w:pPr>
            <w:r>
              <w:t xml:space="preserve">Concerns have been raised over the lack of specific </w:t>
            </w:r>
            <w:r>
              <w:t xml:space="preserve">protections for charitable organizations and their employees and volunteers for disclosing </w:t>
            </w:r>
            <w:r>
              <w:t xml:space="preserve">allegations of </w:t>
            </w:r>
            <w:r>
              <w:t xml:space="preserve">sexual misconduct against another employee or volunteer of that charitable organization. </w:t>
            </w:r>
            <w:r>
              <w:t>C.S.</w:t>
            </w:r>
            <w:r>
              <w:t>H.B. 4345 seeks to address these concerns and encourage r</w:t>
            </w:r>
            <w:r>
              <w:t xml:space="preserve">eporting of sexual misconduct by providing for immunity from civil liability for such disclosure. </w:t>
            </w:r>
          </w:p>
          <w:p w:rsidR="008423E4" w:rsidRPr="00E26B13" w:rsidRDefault="00A169D5" w:rsidP="0076751F">
            <w:pPr>
              <w:rPr>
                <w:b/>
              </w:rPr>
            </w:pPr>
          </w:p>
        </w:tc>
      </w:tr>
      <w:tr w:rsidR="004F1E83" w:rsidTr="00345119">
        <w:tc>
          <w:tcPr>
            <w:tcW w:w="9576" w:type="dxa"/>
          </w:tcPr>
          <w:p w:rsidR="0017725B" w:rsidRDefault="00A169D5" w:rsidP="0076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69D5" w:rsidP="0076751F">
            <w:pPr>
              <w:rPr>
                <w:b/>
                <w:u w:val="single"/>
              </w:rPr>
            </w:pPr>
          </w:p>
          <w:p w:rsidR="0092448C" w:rsidRPr="0092448C" w:rsidRDefault="00A169D5" w:rsidP="0076751F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A169D5" w:rsidP="0076751F">
            <w:pPr>
              <w:rPr>
                <w:b/>
                <w:u w:val="single"/>
              </w:rPr>
            </w:pPr>
          </w:p>
        </w:tc>
      </w:tr>
      <w:tr w:rsidR="004F1E83" w:rsidTr="00345119">
        <w:tc>
          <w:tcPr>
            <w:tcW w:w="9576" w:type="dxa"/>
          </w:tcPr>
          <w:p w:rsidR="008423E4" w:rsidRPr="00A8133F" w:rsidRDefault="00A169D5" w:rsidP="007675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69D5" w:rsidP="0076751F"/>
          <w:p w:rsidR="0092448C" w:rsidRDefault="00A169D5" w:rsidP="007675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A169D5" w:rsidP="0076751F">
            <w:pPr>
              <w:rPr>
                <w:b/>
              </w:rPr>
            </w:pPr>
          </w:p>
        </w:tc>
      </w:tr>
      <w:tr w:rsidR="004F1E83" w:rsidTr="00345119">
        <w:tc>
          <w:tcPr>
            <w:tcW w:w="9576" w:type="dxa"/>
          </w:tcPr>
          <w:p w:rsidR="008423E4" w:rsidRPr="00A8133F" w:rsidRDefault="00A169D5" w:rsidP="007675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69D5" w:rsidP="0076751F"/>
          <w:p w:rsidR="004D58EF" w:rsidRDefault="00A169D5" w:rsidP="0076751F">
            <w:pPr>
              <w:pStyle w:val="Header"/>
              <w:jc w:val="both"/>
            </w:pPr>
            <w:r>
              <w:t>C.S.</w:t>
            </w:r>
            <w:r>
              <w:t xml:space="preserve">H.B. 4345 amends the Civil Practice and Remedies Code to </w:t>
            </w:r>
            <w:r>
              <w:t xml:space="preserve">grant </w:t>
            </w:r>
            <w:r>
              <w:t xml:space="preserve">immunity from civil liability to </w:t>
            </w:r>
            <w:r>
              <w:t>a charitable</w:t>
            </w:r>
            <w:r>
              <w:t xml:space="preserve"> organization</w:t>
            </w:r>
            <w:r>
              <w:t xml:space="preserve"> or an employee or volunteer of</w:t>
            </w:r>
            <w:r>
              <w:t xml:space="preserve"> the organization</w:t>
            </w:r>
            <w:r>
              <w:t xml:space="preserve"> </w:t>
            </w:r>
            <w:r>
              <w:t xml:space="preserve">who </w:t>
            </w:r>
            <w:r>
              <w:t>act</w:t>
            </w:r>
            <w:r>
              <w:t>s</w:t>
            </w:r>
            <w:r>
              <w:t xml:space="preserve"> in good faith for any act to disclose</w:t>
            </w:r>
            <w:r>
              <w:t xml:space="preserve"> </w:t>
            </w:r>
            <w:r w:rsidRPr="001E77C2">
              <w:t xml:space="preserve">to </w:t>
            </w:r>
            <w:r>
              <w:t>an individual's</w:t>
            </w:r>
            <w:r w:rsidRPr="001E77C2">
              <w:t xml:space="preserve"> </w:t>
            </w:r>
            <w:r w:rsidRPr="001E77C2">
              <w:t xml:space="preserve">current </w:t>
            </w:r>
            <w:r>
              <w:t xml:space="preserve">or prospective employer </w:t>
            </w:r>
            <w:r>
              <w:t xml:space="preserve">information reasonably believed to be true about allegations that </w:t>
            </w:r>
            <w:r>
              <w:t>the</w:t>
            </w:r>
            <w:r>
              <w:t xml:space="preserve"> individual</w:t>
            </w:r>
            <w:r>
              <w:t>, while employed by or serving as a volunteer of the charita</w:t>
            </w:r>
            <w:r>
              <w:t>ble organization</w:t>
            </w:r>
            <w:r>
              <w:t>:</w:t>
            </w:r>
            <w:r>
              <w:t xml:space="preserve"> </w:t>
            </w:r>
          </w:p>
          <w:p w:rsidR="004D58EF" w:rsidRDefault="00A169D5" w:rsidP="0076751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engaged in sexual misconduct; </w:t>
            </w:r>
          </w:p>
          <w:p w:rsidR="004D58EF" w:rsidRDefault="00A169D5" w:rsidP="0076751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sexually abused another </w:t>
            </w:r>
            <w:r>
              <w:t>individual</w:t>
            </w:r>
            <w:r>
              <w:t xml:space="preserve">; </w:t>
            </w:r>
          </w:p>
          <w:p w:rsidR="004D58EF" w:rsidRDefault="00A169D5" w:rsidP="0076751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sexually harassed another </w:t>
            </w:r>
            <w:r>
              <w:t>individual</w:t>
            </w:r>
            <w:r>
              <w:t xml:space="preserve">; or </w:t>
            </w:r>
          </w:p>
          <w:p w:rsidR="004D58EF" w:rsidRDefault="00A169D5" w:rsidP="0076751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otherwise committed a sexual offense or an offense of public indecency. </w:t>
            </w:r>
          </w:p>
          <w:p w:rsidR="004D58EF" w:rsidRDefault="00A169D5" w:rsidP="0076751F">
            <w:pPr>
              <w:pStyle w:val="Header"/>
              <w:jc w:val="both"/>
            </w:pPr>
          </w:p>
          <w:p w:rsidR="008423E4" w:rsidRDefault="00A169D5" w:rsidP="0076751F">
            <w:pPr>
              <w:pStyle w:val="Header"/>
              <w:jc w:val="both"/>
            </w:pPr>
            <w:r>
              <w:t xml:space="preserve">C.S.H.B. 4345 </w:t>
            </w:r>
            <w:r>
              <w:t xml:space="preserve">excludes </w:t>
            </w:r>
            <w:r>
              <w:t>an individual</w:t>
            </w:r>
            <w:r>
              <w:t xml:space="preserve"> </w:t>
            </w:r>
            <w:r>
              <w:t xml:space="preserve">who reports the </w:t>
            </w:r>
            <w:r>
              <w:t xml:space="preserve">individual's </w:t>
            </w:r>
            <w:r>
              <w:t>own such conduct</w:t>
            </w:r>
            <w:r>
              <w:t xml:space="preserve"> </w:t>
            </w:r>
            <w:r>
              <w:t xml:space="preserve">or who acts in bad faith or with malicious purpose in making a disclosure under the bill's provisions from </w:t>
            </w:r>
            <w:r>
              <w:t xml:space="preserve">immunity </w:t>
            </w:r>
            <w:r>
              <w:t>with regard to</w:t>
            </w:r>
            <w:r>
              <w:t xml:space="preserve"> </w:t>
            </w:r>
            <w:r>
              <w:t>civil or criminal liability.</w:t>
            </w:r>
          </w:p>
          <w:p w:rsidR="008423E4" w:rsidRPr="00835628" w:rsidRDefault="00A169D5" w:rsidP="0076751F">
            <w:pPr>
              <w:rPr>
                <w:b/>
              </w:rPr>
            </w:pPr>
          </w:p>
        </w:tc>
      </w:tr>
      <w:tr w:rsidR="004F1E83" w:rsidTr="00345119">
        <w:tc>
          <w:tcPr>
            <w:tcW w:w="9576" w:type="dxa"/>
          </w:tcPr>
          <w:p w:rsidR="008423E4" w:rsidRPr="00A8133F" w:rsidRDefault="00A169D5" w:rsidP="007675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69D5" w:rsidP="0076751F"/>
          <w:p w:rsidR="008423E4" w:rsidRPr="003624F2" w:rsidRDefault="00A169D5" w:rsidP="007675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169D5" w:rsidP="0076751F">
            <w:pPr>
              <w:rPr>
                <w:b/>
              </w:rPr>
            </w:pPr>
          </w:p>
        </w:tc>
      </w:tr>
      <w:tr w:rsidR="004F1E83" w:rsidTr="00345119">
        <w:tc>
          <w:tcPr>
            <w:tcW w:w="9576" w:type="dxa"/>
          </w:tcPr>
          <w:p w:rsidR="00437A4A" w:rsidRDefault="00A169D5" w:rsidP="007675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628B3" w:rsidRPr="004D58EF" w:rsidRDefault="00A169D5" w:rsidP="0076751F">
            <w:pPr>
              <w:jc w:val="both"/>
            </w:pPr>
          </w:p>
          <w:p w:rsidR="00B84E01" w:rsidRPr="00B84E01" w:rsidRDefault="00A169D5" w:rsidP="0076751F">
            <w:pPr>
              <w:jc w:val="both"/>
            </w:pPr>
            <w:r>
              <w:t>C.S.H.B. 4345 differs from the original in minor or nonsubstantive ways by conforming to certain bill drafting conventions.</w:t>
            </w:r>
          </w:p>
        </w:tc>
      </w:tr>
    </w:tbl>
    <w:p w:rsidR="004108C3" w:rsidRPr="0076751F" w:rsidRDefault="00A169D5" w:rsidP="0076751F">
      <w:pPr>
        <w:rPr>
          <w:sz w:val="2"/>
          <w:szCs w:val="2"/>
        </w:rPr>
      </w:pPr>
    </w:p>
    <w:sectPr w:rsidR="004108C3" w:rsidRPr="0076751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69D5">
      <w:r>
        <w:separator/>
      </w:r>
    </w:p>
  </w:endnote>
  <w:endnote w:type="continuationSeparator" w:id="0">
    <w:p w:rsidR="00000000" w:rsidRDefault="00A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1E83" w:rsidTr="009C1E9A">
      <w:trPr>
        <w:cantSplit/>
      </w:trPr>
      <w:tc>
        <w:tcPr>
          <w:tcW w:w="0" w:type="pct"/>
        </w:tcPr>
        <w:p w:rsidR="00137D90" w:rsidRDefault="00A169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69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69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69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69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1E83" w:rsidTr="009C1E9A">
      <w:trPr>
        <w:cantSplit/>
      </w:trPr>
      <w:tc>
        <w:tcPr>
          <w:tcW w:w="0" w:type="pct"/>
        </w:tcPr>
        <w:p w:rsidR="00EC379B" w:rsidRDefault="00A169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69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24432</w:t>
          </w:r>
        </w:p>
      </w:tc>
      <w:tc>
        <w:tcPr>
          <w:tcW w:w="2453" w:type="pct"/>
        </w:tcPr>
        <w:p w:rsidR="00EC379B" w:rsidRDefault="00A169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19.94.766</w:t>
          </w:r>
          <w:r>
            <w:fldChar w:fldCharType="end"/>
          </w:r>
        </w:p>
      </w:tc>
    </w:tr>
    <w:tr w:rsidR="004F1E83" w:rsidTr="009C1E9A">
      <w:trPr>
        <w:cantSplit/>
      </w:trPr>
      <w:tc>
        <w:tcPr>
          <w:tcW w:w="0" w:type="pct"/>
        </w:tcPr>
        <w:p w:rsidR="00EC379B" w:rsidRDefault="00A169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69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19524</w:t>
          </w:r>
        </w:p>
      </w:tc>
      <w:tc>
        <w:tcPr>
          <w:tcW w:w="2453" w:type="pct"/>
        </w:tcPr>
        <w:p w:rsidR="00EC379B" w:rsidRDefault="00A169D5" w:rsidP="006D504F">
          <w:pPr>
            <w:pStyle w:val="Footer"/>
            <w:rPr>
              <w:rStyle w:val="PageNumber"/>
            </w:rPr>
          </w:pPr>
        </w:p>
        <w:p w:rsidR="00EC379B" w:rsidRDefault="00A169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1E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69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69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69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69D5">
      <w:r>
        <w:separator/>
      </w:r>
    </w:p>
  </w:footnote>
  <w:footnote w:type="continuationSeparator" w:id="0">
    <w:p w:rsidR="00000000" w:rsidRDefault="00A1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1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2C3"/>
    <w:multiLevelType w:val="hybridMultilevel"/>
    <w:tmpl w:val="E2DEE25A"/>
    <w:lvl w:ilvl="0" w:tplc="D6203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AC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0C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C9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AF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A6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2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EB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3"/>
    <w:rsid w:val="004F1E83"/>
    <w:rsid w:val="00A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7D079C-BECC-42EC-BF39-109834AC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44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4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1824</Characters>
  <Application>Microsoft Office Word</Application>
  <DocSecurity>4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HB04345 (Committee Report (Substituted))</vt:lpstr>
    </vt:vector>
  </TitlesOfParts>
  <Company>State of Texas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24432</dc:subject>
  <dc:creator>State of Texas</dc:creator>
  <dc:description>HB 4345 by Sanford-(H)Judiciary &amp; Civil Jurisprudence (Substitute Document Number: 86R 19524)</dc:description>
  <cp:lastModifiedBy>Scotty Wimberley</cp:lastModifiedBy>
  <cp:revision>2</cp:revision>
  <cp:lastPrinted>2003-11-26T17:21:00Z</cp:lastPrinted>
  <dcterms:created xsi:type="dcterms:W3CDTF">2019-04-17T23:29:00Z</dcterms:created>
  <dcterms:modified xsi:type="dcterms:W3CDTF">2019-04-17T23:29:00Z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19.94.766</vt:lpwstr>
  </property>
</Properties>
</file>