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0E3C" w:rsidTr="00345119">
        <w:tc>
          <w:tcPr>
            <w:tcW w:w="9576" w:type="dxa"/>
            <w:noWrap/>
          </w:tcPr>
          <w:p w:rsidR="008423E4" w:rsidRPr="0022177D" w:rsidRDefault="008025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2520" w:rsidP="008423E4">
      <w:pPr>
        <w:jc w:val="center"/>
      </w:pPr>
    </w:p>
    <w:p w:rsidR="008423E4" w:rsidRPr="00B31F0E" w:rsidRDefault="00802520" w:rsidP="008423E4"/>
    <w:p w:rsidR="008423E4" w:rsidRPr="00742794" w:rsidRDefault="008025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0E3C" w:rsidTr="00345119">
        <w:tc>
          <w:tcPr>
            <w:tcW w:w="9576" w:type="dxa"/>
          </w:tcPr>
          <w:p w:rsidR="008423E4" w:rsidRPr="00861995" w:rsidRDefault="00802520" w:rsidP="00345119">
            <w:pPr>
              <w:jc w:val="right"/>
            </w:pPr>
            <w:r>
              <w:t>C.S.H.B. 4362</w:t>
            </w:r>
          </w:p>
        </w:tc>
      </w:tr>
      <w:tr w:rsidR="004A0E3C" w:rsidTr="00345119">
        <w:tc>
          <w:tcPr>
            <w:tcW w:w="9576" w:type="dxa"/>
          </w:tcPr>
          <w:p w:rsidR="008423E4" w:rsidRPr="00861995" w:rsidRDefault="00802520" w:rsidP="003538C3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4A0E3C" w:rsidTr="00345119">
        <w:tc>
          <w:tcPr>
            <w:tcW w:w="9576" w:type="dxa"/>
          </w:tcPr>
          <w:p w:rsidR="008423E4" w:rsidRPr="00861995" w:rsidRDefault="00802520" w:rsidP="00345119">
            <w:pPr>
              <w:jc w:val="right"/>
            </w:pPr>
            <w:r>
              <w:t>Transportation</w:t>
            </w:r>
          </w:p>
        </w:tc>
      </w:tr>
      <w:tr w:rsidR="004A0E3C" w:rsidTr="00345119">
        <w:tc>
          <w:tcPr>
            <w:tcW w:w="9576" w:type="dxa"/>
          </w:tcPr>
          <w:p w:rsidR="008423E4" w:rsidRDefault="0080252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2520" w:rsidP="008423E4">
      <w:pPr>
        <w:tabs>
          <w:tab w:val="right" w:pos="9360"/>
        </w:tabs>
      </w:pPr>
    </w:p>
    <w:p w:rsidR="008423E4" w:rsidRDefault="00802520" w:rsidP="008423E4"/>
    <w:p w:rsidR="008423E4" w:rsidRDefault="008025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0E3C" w:rsidTr="00345119">
        <w:tc>
          <w:tcPr>
            <w:tcW w:w="9576" w:type="dxa"/>
          </w:tcPr>
          <w:p w:rsidR="008423E4" w:rsidRPr="00A8133F" w:rsidRDefault="00802520" w:rsidP="002D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2520" w:rsidP="002D663A"/>
          <w:p w:rsidR="008423E4" w:rsidRDefault="00802520" w:rsidP="002D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>
              <w:t>, with respect to peer-to-peer vehicle sharing platforms,</w:t>
            </w:r>
            <w:r>
              <w:t xml:space="preserve"> for further guidance on the duties of the platform</w:t>
            </w:r>
            <w:r>
              <w:t>s</w:t>
            </w:r>
            <w:r>
              <w:t xml:space="preserve"> and</w:t>
            </w:r>
            <w:r>
              <w:t xml:space="preserve"> the </w:t>
            </w:r>
            <w:r>
              <w:t>taxation of</w:t>
            </w:r>
            <w:r>
              <w:t xml:space="preserve"> these platforms</w:t>
            </w:r>
            <w:r w:rsidRPr="004A31DA">
              <w:t>.</w:t>
            </w:r>
            <w:r>
              <w:t xml:space="preserve"> </w:t>
            </w:r>
            <w:r w:rsidRPr="00B40622">
              <w:t>C.S.</w:t>
            </w:r>
            <w:r>
              <w:t xml:space="preserve">H.B. 4362 seeks to address this issue by providing regulations </w:t>
            </w:r>
            <w:r>
              <w:t>for</w:t>
            </w:r>
            <w:r>
              <w:t xml:space="preserve"> peer-to-peer vehicle sharing platforms.</w:t>
            </w:r>
          </w:p>
          <w:p w:rsidR="008423E4" w:rsidRPr="00E26B13" w:rsidRDefault="00802520" w:rsidP="002D663A">
            <w:pPr>
              <w:rPr>
                <w:b/>
              </w:rPr>
            </w:pPr>
          </w:p>
        </w:tc>
      </w:tr>
      <w:tr w:rsidR="004A0E3C" w:rsidTr="00345119">
        <w:tc>
          <w:tcPr>
            <w:tcW w:w="9576" w:type="dxa"/>
          </w:tcPr>
          <w:p w:rsidR="0017725B" w:rsidRDefault="00802520" w:rsidP="002D6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2520" w:rsidP="002D663A">
            <w:pPr>
              <w:rPr>
                <w:b/>
                <w:u w:val="single"/>
              </w:rPr>
            </w:pPr>
          </w:p>
          <w:p w:rsidR="007C5F73" w:rsidRPr="007C5F73" w:rsidRDefault="00802520" w:rsidP="002D663A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2520" w:rsidP="002D663A">
            <w:pPr>
              <w:rPr>
                <w:b/>
                <w:u w:val="single"/>
              </w:rPr>
            </w:pPr>
          </w:p>
        </w:tc>
      </w:tr>
      <w:tr w:rsidR="004A0E3C" w:rsidTr="00345119">
        <w:tc>
          <w:tcPr>
            <w:tcW w:w="9576" w:type="dxa"/>
          </w:tcPr>
          <w:p w:rsidR="008423E4" w:rsidRPr="00A8133F" w:rsidRDefault="00802520" w:rsidP="002D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2520" w:rsidP="002D663A"/>
          <w:p w:rsidR="007C5F73" w:rsidRDefault="00802520" w:rsidP="002D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 w:rsidRPr="00850E99">
              <w:t>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802520" w:rsidP="002D663A">
            <w:pPr>
              <w:rPr>
                <w:b/>
              </w:rPr>
            </w:pPr>
          </w:p>
        </w:tc>
      </w:tr>
      <w:tr w:rsidR="004A0E3C" w:rsidTr="00345119">
        <w:tc>
          <w:tcPr>
            <w:tcW w:w="9576" w:type="dxa"/>
          </w:tcPr>
          <w:p w:rsidR="008423E4" w:rsidRPr="00A8133F" w:rsidRDefault="00802520" w:rsidP="002D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2520" w:rsidP="002D663A"/>
          <w:p w:rsidR="008423E4" w:rsidRDefault="00802520" w:rsidP="002D663A">
            <w:pPr>
              <w:pStyle w:val="Header"/>
              <w:jc w:val="both"/>
            </w:pPr>
            <w:r w:rsidRPr="00B40622">
              <w:t>C.S.</w:t>
            </w:r>
            <w:r>
              <w:t xml:space="preserve">H.B. 4362 amends the </w:t>
            </w:r>
            <w:r>
              <w:t xml:space="preserve">Business &amp; Commerce </w:t>
            </w:r>
            <w:r>
              <w:t xml:space="preserve">Code to require the agreement for a </w:t>
            </w:r>
            <w:r>
              <w:t>peer</w:t>
            </w:r>
            <w:r>
              <w:noBreakHyphen/>
            </w:r>
            <w:r>
              <w:t>to</w:t>
            </w:r>
            <w:r>
              <w:noBreakHyphen/>
            </w:r>
            <w:r>
              <w:t>peer vehicle sharing platform</w:t>
            </w:r>
            <w:r w:rsidRPr="009C59CE">
              <w:t xml:space="preserve"> that is in the business of connecting</w:t>
            </w:r>
            <w:r>
              <w:t xml:space="preserve"> personal</w:t>
            </w:r>
            <w:r w:rsidRPr="009C59CE">
              <w:t xml:space="preserve"> vehicle owners with drivers </w:t>
            </w:r>
            <w:r>
              <w:t xml:space="preserve">in order </w:t>
            </w:r>
            <w:r w:rsidRPr="009C59CE">
              <w:t>to enable the sharing of motor vehicles for financial consideration</w:t>
            </w:r>
            <w:r>
              <w:t xml:space="preserve"> to state </w:t>
            </w:r>
            <w:r>
              <w:t>the sharing period,</w:t>
            </w:r>
            <w:r>
              <w:t xml:space="preserve"> </w:t>
            </w:r>
            <w:r>
              <w:t xml:space="preserve">daily rate, fees, and any protection </w:t>
            </w:r>
            <w:r>
              <w:t xml:space="preserve">package or insurance costs that are charged to the shared vehicle owner or </w:t>
            </w:r>
            <w:r>
              <w:t xml:space="preserve">shared vehicle </w:t>
            </w:r>
            <w:r>
              <w:t>driver.</w:t>
            </w:r>
            <w:r>
              <w:t xml:space="preserve"> </w:t>
            </w:r>
            <w:r>
              <w:t xml:space="preserve">The bill sets out the duties of the platform and the vehicle owner </w:t>
            </w:r>
            <w:r>
              <w:t>regarding a</w:t>
            </w:r>
            <w:r>
              <w:t xml:space="preserve"> safety recall on the vehicle</w:t>
            </w:r>
            <w:r>
              <w:t xml:space="preserve">. </w:t>
            </w:r>
            <w:r>
              <w:t>These provisions control to the extent of a confl</w:t>
            </w:r>
            <w:r>
              <w:t>ict between the</w:t>
            </w:r>
            <w:r>
              <w:t>se</w:t>
            </w:r>
            <w:r>
              <w:t xml:space="preserve"> provisions, including a rule adopted under the provisions, and another law. </w:t>
            </w:r>
            <w:r>
              <w:t xml:space="preserve">The bill establishes that the regulation of peer-to-peer vehicle sharing and peer-to-peer vehicle sharing platforms is an exclusive power and function of </w:t>
            </w:r>
            <w:r>
              <w:t>the stat</w:t>
            </w:r>
            <w:r>
              <w:t>e</w:t>
            </w:r>
            <w:r>
              <w:t xml:space="preserve"> and may not be regulated by a municipality, county, or other local entity, including by imposing a tax, levy, fee, or charge of any kind, requiring an additional license or permit, setting rates, imposing operational or entry requirements, or imposing ot</w:t>
            </w:r>
            <w:r>
              <w:t>her requirements</w:t>
            </w:r>
            <w:r>
              <w:t xml:space="preserve">. </w:t>
            </w:r>
          </w:p>
          <w:p w:rsidR="00E21717" w:rsidRDefault="00802520" w:rsidP="002D663A">
            <w:pPr>
              <w:pStyle w:val="Header"/>
              <w:jc w:val="both"/>
            </w:pPr>
          </w:p>
          <w:p w:rsidR="00E21717" w:rsidRDefault="00802520" w:rsidP="002D663A">
            <w:pPr>
              <w:pStyle w:val="Header"/>
              <w:jc w:val="both"/>
            </w:pPr>
            <w:r w:rsidRPr="00B40622">
              <w:t>C.S.</w:t>
            </w:r>
            <w:r>
              <w:t>H</w:t>
            </w:r>
            <w:r>
              <w:t xml:space="preserve">.B. 4362 amends the Tax Code to </w:t>
            </w:r>
            <w:r>
              <w:t xml:space="preserve">establish </w:t>
            </w:r>
            <w:r>
              <w:t>that</w:t>
            </w:r>
            <w:r>
              <w:t>, for purposes of peer-to-peer vehicle sharing,</w:t>
            </w:r>
            <w:r>
              <w:t xml:space="preserve"> the </w:t>
            </w:r>
            <w:r>
              <w:t xml:space="preserve">seller or retailer </w:t>
            </w:r>
            <w:r>
              <w:t xml:space="preserve">is the </w:t>
            </w:r>
            <w:r>
              <w:t xml:space="preserve">peer-to-peer vehicle sharing </w:t>
            </w:r>
            <w:r>
              <w:t>platform</w:t>
            </w:r>
            <w:r>
              <w:t xml:space="preserve"> </w:t>
            </w:r>
            <w:r>
              <w:t xml:space="preserve">and that the </w:t>
            </w:r>
            <w:r w:rsidRPr="00756ABD">
              <w:t xml:space="preserve">owner of a personal motor vehicle used for peer-to-peer </w:t>
            </w:r>
            <w:r w:rsidRPr="00756ABD">
              <w:t>vehicle sharing is not the seller or retailer unless the owner of the vehicle is the platform.</w:t>
            </w:r>
            <w:r>
              <w:t xml:space="preserve"> </w:t>
            </w:r>
            <w:r>
              <w:t xml:space="preserve">The bill includes peer-to-peer vehicle sharing among the taxable services subject to </w:t>
            </w:r>
            <w:r>
              <w:t>sales and use tax</w:t>
            </w:r>
            <w:r>
              <w:t>. The bill</w:t>
            </w:r>
            <w:r>
              <w:t xml:space="preserve"> </w:t>
            </w:r>
            <w:r>
              <w:t>exempt</w:t>
            </w:r>
            <w:r>
              <w:t>s peer-to-peer vehicle</w:t>
            </w:r>
            <w:r>
              <w:t xml:space="preserve"> sharing</w:t>
            </w:r>
            <w:r>
              <w:t xml:space="preserve"> from local </w:t>
            </w:r>
            <w:r>
              <w:t xml:space="preserve">sales and use </w:t>
            </w:r>
            <w:r>
              <w:t>taxes.</w:t>
            </w:r>
            <w:r>
              <w:t xml:space="preserve"> The bill </w:t>
            </w:r>
            <w:r>
              <w:t>establishes</w:t>
            </w:r>
            <w:r>
              <w:t xml:space="preserve"> that</w:t>
            </w:r>
            <w:r>
              <w:t>,</w:t>
            </w:r>
            <w:r>
              <w:t xml:space="preserve"> for purposes of </w:t>
            </w:r>
            <w:r>
              <w:t xml:space="preserve">taxes on the </w:t>
            </w:r>
            <w:r>
              <w:t>sale</w:t>
            </w:r>
            <w:r>
              <w:t>, rental,</w:t>
            </w:r>
            <w:r>
              <w:t xml:space="preserve"> and use </w:t>
            </w:r>
            <w:r>
              <w:t>of motor vehicles</w:t>
            </w:r>
            <w:r>
              <w:t>,</w:t>
            </w:r>
            <w:r>
              <w:t xml:space="preserve"> the term</w:t>
            </w:r>
            <w:r>
              <w:t xml:space="preserve"> "rental" does not include peer-to-peer vehicle sharing. </w:t>
            </w:r>
          </w:p>
          <w:p w:rsidR="008423E4" w:rsidRPr="00835628" w:rsidRDefault="00802520" w:rsidP="002D663A">
            <w:pPr>
              <w:rPr>
                <w:b/>
              </w:rPr>
            </w:pPr>
          </w:p>
        </w:tc>
      </w:tr>
      <w:tr w:rsidR="004A0E3C" w:rsidTr="00345119">
        <w:tc>
          <w:tcPr>
            <w:tcW w:w="9576" w:type="dxa"/>
          </w:tcPr>
          <w:p w:rsidR="008423E4" w:rsidRPr="00A8133F" w:rsidRDefault="00802520" w:rsidP="002D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56B01" w:rsidRDefault="00802520" w:rsidP="002D663A"/>
          <w:p w:rsidR="008423E4" w:rsidRDefault="00802520" w:rsidP="002D663A">
            <w:r w:rsidRPr="00156B01">
              <w:t>September 1, 2019.</w:t>
            </w:r>
          </w:p>
          <w:p w:rsidR="005D1639" w:rsidRDefault="00802520" w:rsidP="002D663A">
            <w:pPr>
              <w:rPr>
                <w:b/>
              </w:rPr>
            </w:pPr>
          </w:p>
          <w:p w:rsidR="002D663A" w:rsidRPr="00233FDB" w:rsidRDefault="00802520" w:rsidP="002D663A">
            <w:pPr>
              <w:rPr>
                <w:b/>
              </w:rPr>
            </w:pPr>
          </w:p>
        </w:tc>
      </w:tr>
      <w:tr w:rsidR="004A0E3C" w:rsidTr="00345119">
        <w:tc>
          <w:tcPr>
            <w:tcW w:w="9576" w:type="dxa"/>
          </w:tcPr>
          <w:p w:rsidR="003538C3" w:rsidRDefault="00802520" w:rsidP="00A55DB5">
            <w:pPr>
              <w:spacing w:before="120" w:after="120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</w:t>
            </w:r>
            <w:r>
              <w:rPr>
                <w:b/>
                <w:u w:val="single"/>
              </w:rPr>
              <w:t>TITUTE</w:t>
            </w:r>
          </w:p>
          <w:p w:rsidR="00FD5E00" w:rsidRDefault="00802520" w:rsidP="00A55DB5">
            <w:pPr>
              <w:spacing w:before="120" w:after="120"/>
              <w:contextualSpacing/>
              <w:jc w:val="both"/>
            </w:pPr>
          </w:p>
          <w:p w:rsidR="00FD5E00" w:rsidRDefault="00802520" w:rsidP="00A55DB5">
            <w:pPr>
              <w:spacing w:before="120" w:after="120"/>
              <w:contextualSpacing/>
              <w:jc w:val="both"/>
            </w:pPr>
            <w:r>
              <w:t>While C.S.H.B. 4362 may differ from the original in minor or nonsubstantive ways, the following summarizes the substantial differences between the introduced and committee substitute versions of the bill.</w:t>
            </w:r>
          </w:p>
          <w:p w:rsidR="00FD5E00" w:rsidRDefault="00802520" w:rsidP="00A55DB5">
            <w:pPr>
              <w:spacing w:before="120" w:after="120"/>
              <w:contextualSpacing/>
              <w:jc w:val="both"/>
            </w:pPr>
          </w:p>
          <w:p w:rsidR="00FD5E00" w:rsidRDefault="00802520" w:rsidP="00A55DB5">
            <w:pPr>
              <w:spacing w:before="120" w:after="120"/>
              <w:contextualSpacing/>
              <w:jc w:val="both"/>
            </w:pPr>
            <w:r>
              <w:t>The substitute does not include</w:t>
            </w:r>
            <w:r>
              <w:t>:</w:t>
            </w:r>
          </w:p>
          <w:p w:rsidR="00A34885" w:rsidRDefault="00802520" w:rsidP="00A55DB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n authorization for </w:t>
            </w:r>
            <w:r w:rsidRPr="00FD5E00">
              <w:t xml:space="preserve">a platform to charge a driver </w:t>
            </w:r>
            <w:r>
              <w:t>certain</w:t>
            </w:r>
            <w:r w:rsidRPr="00FD5E00">
              <w:t xml:space="preserve"> fee</w:t>
            </w:r>
            <w:r>
              <w:t>s</w:t>
            </w:r>
            <w:r>
              <w:t>;</w:t>
            </w:r>
          </w:p>
          <w:p w:rsidR="00FD5E00" w:rsidRDefault="00802520" w:rsidP="00A55DB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provisions relating to insurance requirements;</w:t>
            </w:r>
          </w:p>
          <w:p w:rsidR="00FD5E00" w:rsidRDefault="00802520" w:rsidP="00A55DB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a requirement for </w:t>
            </w:r>
            <w:r w:rsidRPr="00FD5E00">
              <w:t>the platform to assume the liability of an owner for any bodily injury or property damage to third parties</w:t>
            </w:r>
            <w:r>
              <w:t xml:space="preserve">; </w:t>
            </w:r>
          </w:p>
          <w:p w:rsidR="008B7E1A" w:rsidRDefault="00802520" w:rsidP="00A55DB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 requirement for the </w:t>
            </w:r>
            <w:r w:rsidRPr="00FD5E00">
              <w:t>amount of liability assumed by the platform to be stated in the platform agreement</w:t>
            </w:r>
            <w:r>
              <w:t>;</w:t>
            </w:r>
            <w:r>
              <w:t xml:space="preserve"> and</w:t>
            </w:r>
          </w:p>
          <w:p w:rsidR="00FD5E00" w:rsidRDefault="00802520" w:rsidP="00A55DB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 requir</w:t>
            </w:r>
            <w:r>
              <w:t>ement</w:t>
            </w:r>
            <w:r>
              <w:t xml:space="preserve"> </w:t>
            </w:r>
            <w:r>
              <w:t xml:space="preserve">that </w:t>
            </w:r>
            <w:r>
              <w:t xml:space="preserve">a platform </w:t>
            </w:r>
            <w:r w:rsidRPr="00D17B3E">
              <w:t>collect, report, and pay the tax on gross rental receipts to the comptroller of public accounts in same manner that s</w:t>
            </w:r>
            <w:r w:rsidRPr="00D17B3E">
              <w:t>ales and use tax is collected, reported, and paid</w:t>
            </w:r>
            <w:r>
              <w:t>.</w:t>
            </w:r>
          </w:p>
          <w:p w:rsidR="00AF226D" w:rsidRDefault="00802520" w:rsidP="00A55DB5">
            <w:pPr>
              <w:spacing w:before="120" w:after="120"/>
              <w:contextualSpacing/>
              <w:jc w:val="both"/>
            </w:pPr>
          </w:p>
          <w:p w:rsidR="00A34885" w:rsidRDefault="00802520" w:rsidP="00A55DB5">
            <w:pPr>
              <w:spacing w:before="120" w:after="120"/>
              <w:contextualSpacing/>
              <w:jc w:val="both"/>
            </w:pPr>
            <w:r>
              <w:t>The substitute includes</w:t>
            </w:r>
            <w:r>
              <w:t>:</w:t>
            </w:r>
          </w:p>
          <w:p w:rsidR="004240F9" w:rsidRDefault="00802520" w:rsidP="00A55DB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defining "peer-to-peer vehicle sharing</w:t>
            </w:r>
            <w:r>
              <w:t>"</w:t>
            </w:r>
            <w:r>
              <w:t>;</w:t>
            </w:r>
          </w:p>
          <w:p w:rsidR="00A34885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provision establishing that the bill's Business &amp; Commerce Code provisions control</w:t>
            </w:r>
            <w:r>
              <w:t xml:space="preserve"> to the extent of any conflicts with other</w:t>
            </w:r>
            <w:r>
              <w:t xml:space="preserve"> laws or rules adopted under </w:t>
            </w:r>
            <w:r>
              <w:t>other</w:t>
            </w:r>
            <w:r>
              <w:t xml:space="preserve"> provisions</w:t>
            </w:r>
            <w:r>
              <w:t xml:space="preserve"> of the bill</w:t>
            </w:r>
            <w:r>
              <w:t>;</w:t>
            </w:r>
          </w:p>
          <w:p w:rsidR="00AF226D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provision giving the state exclusive </w:t>
            </w:r>
            <w:r>
              <w:t xml:space="preserve">regulatory </w:t>
            </w:r>
            <w:r>
              <w:t xml:space="preserve">power over </w:t>
            </w:r>
            <w:r w:rsidRPr="00AF226D">
              <w:t>peer-to-peer vehicle sharing or peer-to-peer vehicle sharing platforms</w:t>
            </w:r>
            <w:r>
              <w:t>;</w:t>
            </w:r>
          </w:p>
          <w:p w:rsidR="00AF226D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prohibition against a municipality, county, or other local ent</w:t>
            </w:r>
            <w:r>
              <w:t xml:space="preserve">ity regulating peer-to-peer vehicle sharing or </w:t>
            </w:r>
            <w:r w:rsidRPr="00AF226D">
              <w:t>peer-to-peer vehicle sharing</w:t>
            </w:r>
            <w:r>
              <w:t xml:space="preserve"> platforms</w:t>
            </w:r>
            <w:r>
              <w:t>;</w:t>
            </w:r>
          </w:p>
          <w:p w:rsidR="008B7E1A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provision establishing that</w:t>
            </w:r>
            <w:r>
              <w:t>, for purposes of peer-to-peer vehicle sharing, the seller or retailer is the peer-to-peer vehicle sharing platform and that</w:t>
            </w:r>
            <w:r>
              <w:t xml:space="preserve"> </w:t>
            </w:r>
            <w:r w:rsidRPr="009436CE">
              <w:t xml:space="preserve">the owner of a </w:t>
            </w:r>
            <w:r w:rsidRPr="009436CE">
              <w:t>personal motor vehicle used for peer-to-peer vehicle sharing is not the seller or retailer unless the owner o</w:t>
            </w:r>
            <w:r>
              <w:t>f the vehicle is the platform;</w:t>
            </w:r>
          </w:p>
          <w:p w:rsidR="00D17B3E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provision includ</w:t>
            </w:r>
            <w:r>
              <w:t>ing</w:t>
            </w:r>
            <w:r>
              <w:t xml:space="preserve"> peer-to-peer vehicle sharing among the taxable services subject to sales and use tax;</w:t>
            </w:r>
            <w:r>
              <w:t xml:space="preserve"> </w:t>
            </w:r>
          </w:p>
          <w:p w:rsidR="008B7E1A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provi</w:t>
            </w:r>
            <w:r>
              <w:t>sion exempting peer-to-peer vehicle sharing from local sales and use taxes;</w:t>
            </w:r>
            <w:r>
              <w:t xml:space="preserve"> and</w:t>
            </w:r>
          </w:p>
          <w:p w:rsidR="008B7E1A" w:rsidRDefault="00802520" w:rsidP="00A55DB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provision establishing that, </w:t>
            </w:r>
            <w:r>
              <w:t xml:space="preserve">for purposes of taxes on the sale, rental, and use of motor vehicles, the term "rental" does not include peer-to-peer vehicle sharing. </w:t>
            </w:r>
            <w:r>
              <w:t xml:space="preserve"> </w:t>
            </w:r>
          </w:p>
          <w:p w:rsidR="00FD5E00" w:rsidRPr="00FD5E00" w:rsidRDefault="00802520" w:rsidP="00A55DB5">
            <w:pPr>
              <w:spacing w:before="120" w:after="120"/>
              <w:contextualSpacing/>
              <w:jc w:val="both"/>
            </w:pPr>
          </w:p>
        </w:tc>
      </w:tr>
      <w:tr w:rsidR="004A0E3C" w:rsidTr="00345119">
        <w:tc>
          <w:tcPr>
            <w:tcW w:w="9576" w:type="dxa"/>
          </w:tcPr>
          <w:p w:rsidR="003538C3" w:rsidRPr="009C1E9A" w:rsidRDefault="00802520" w:rsidP="002D663A">
            <w:pPr>
              <w:rPr>
                <w:b/>
                <w:u w:val="single"/>
              </w:rPr>
            </w:pPr>
          </w:p>
        </w:tc>
      </w:tr>
      <w:tr w:rsidR="004A0E3C" w:rsidTr="00345119">
        <w:tc>
          <w:tcPr>
            <w:tcW w:w="9576" w:type="dxa"/>
          </w:tcPr>
          <w:p w:rsidR="003538C3" w:rsidRPr="003538C3" w:rsidRDefault="00802520" w:rsidP="002D663A">
            <w:pPr>
              <w:jc w:val="both"/>
            </w:pPr>
          </w:p>
        </w:tc>
      </w:tr>
    </w:tbl>
    <w:p w:rsidR="008423E4" w:rsidRPr="000B1265" w:rsidRDefault="0080252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B1265" w:rsidRDefault="00802520" w:rsidP="008423E4">
      <w:pPr>
        <w:rPr>
          <w:sz w:val="2"/>
          <w:szCs w:val="2"/>
        </w:rPr>
      </w:pPr>
    </w:p>
    <w:sectPr w:rsidR="004108C3" w:rsidRPr="000B126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520">
      <w:r>
        <w:separator/>
      </w:r>
    </w:p>
  </w:endnote>
  <w:endnote w:type="continuationSeparator" w:id="0">
    <w:p w:rsidR="00000000" w:rsidRDefault="0080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0E3C" w:rsidTr="009C1E9A">
      <w:trPr>
        <w:cantSplit/>
      </w:trPr>
      <w:tc>
        <w:tcPr>
          <w:tcW w:w="0" w:type="pct"/>
        </w:tcPr>
        <w:p w:rsidR="00137D90" w:rsidRDefault="008025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25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25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25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25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E3C" w:rsidTr="009C1E9A">
      <w:trPr>
        <w:cantSplit/>
      </w:trPr>
      <w:tc>
        <w:tcPr>
          <w:tcW w:w="0" w:type="pct"/>
        </w:tcPr>
        <w:p w:rsidR="00EC379B" w:rsidRDefault="008025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25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28065</w:t>
          </w:r>
        </w:p>
      </w:tc>
      <w:tc>
        <w:tcPr>
          <w:tcW w:w="2453" w:type="pct"/>
        </w:tcPr>
        <w:p w:rsidR="00EC379B" w:rsidRDefault="008025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19.107.1623</w:t>
          </w:r>
          <w:r>
            <w:fldChar w:fldCharType="end"/>
          </w:r>
        </w:p>
      </w:tc>
    </w:tr>
    <w:tr w:rsidR="004A0E3C" w:rsidTr="009C1E9A">
      <w:trPr>
        <w:cantSplit/>
      </w:trPr>
      <w:tc>
        <w:tcPr>
          <w:tcW w:w="0" w:type="pct"/>
        </w:tcPr>
        <w:p w:rsidR="00EC379B" w:rsidRDefault="008025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25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25607</w:t>
          </w:r>
        </w:p>
      </w:tc>
      <w:tc>
        <w:tcPr>
          <w:tcW w:w="2453" w:type="pct"/>
        </w:tcPr>
        <w:p w:rsidR="00EC379B" w:rsidRDefault="00802520" w:rsidP="006D504F">
          <w:pPr>
            <w:pStyle w:val="Footer"/>
            <w:rPr>
              <w:rStyle w:val="PageNumber"/>
            </w:rPr>
          </w:pPr>
        </w:p>
        <w:p w:rsidR="00EC379B" w:rsidRDefault="008025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E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25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025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25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520">
      <w:r>
        <w:separator/>
      </w:r>
    </w:p>
  </w:footnote>
  <w:footnote w:type="continuationSeparator" w:id="0">
    <w:p w:rsidR="00000000" w:rsidRDefault="0080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98C"/>
    <w:multiLevelType w:val="hybridMultilevel"/>
    <w:tmpl w:val="27CC48EE"/>
    <w:lvl w:ilvl="0" w:tplc="03C29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5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09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64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7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AC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3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26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6313"/>
    <w:multiLevelType w:val="hybridMultilevel"/>
    <w:tmpl w:val="2676CFAC"/>
    <w:lvl w:ilvl="0" w:tplc="56B01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CF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81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0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27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CA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0A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DEC"/>
    <w:multiLevelType w:val="hybridMultilevel"/>
    <w:tmpl w:val="523AF1A4"/>
    <w:lvl w:ilvl="0" w:tplc="C15A2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E6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87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4B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0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7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60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46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3C"/>
    <w:rsid w:val="004A0E3C"/>
    <w:rsid w:val="008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F6124-254A-49FA-9B69-75CC9A4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1F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1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1F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FF1"/>
    <w:rPr>
      <w:b/>
      <w:bCs/>
    </w:rPr>
  </w:style>
  <w:style w:type="paragraph" w:styleId="ListParagraph">
    <w:name w:val="List Paragraph"/>
    <w:basedOn w:val="Normal"/>
    <w:uiPriority w:val="34"/>
    <w:qFormat/>
    <w:rsid w:val="00A3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4036</Characters>
  <Application>Microsoft Office Word</Application>
  <DocSecurity>4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HB04362 (Committee Report (Substituted))</vt:lpstr>
    </vt:vector>
  </TitlesOfParts>
  <Company>State of Texas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28065</dc:subject>
  <dc:creator>State of Texas</dc:creator>
  <dc:description>HB 4362 by Nevárez-(H)Transportation (Substitute Document Number: 86R 25607)</dc:description>
  <cp:lastModifiedBy>Scotty Wimberley</cp:lastModifiedBy>
  <cp:revision>2</cp:revision>
  <cp:lastPrinted>2003-11-26T17:21:00Z</cp:lastPrinted>
  <dcterms:created xsi:type="dcterms:W3CDTF">2019-04-24T23:45:00Z</dcterms:created>
  <dcterms:modified xsi:type="dcterms:W3CDTF">2019-04-24T23:45:00Z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19.107.1623</vt:lpwstr>
  </property>
</Properties>
</file>