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77C2F" w:rsidTr="00345119">
        <w:tc>
          <w:tcPr>
            <w:tcW w:w="9576" w:type="dxa"/>
            <w:noWrap/>
          </w:tcPr>
          <w:p w:rsidR="008423E4" w:rsidRPr="0022177D" w:rsidRDefault="006172A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172AB" w:rsidP="008423E4">
      <w:pPr>
        <w:jc w:val="center"/>
      </w:pPr>
    </w:p>
    <w:p w:rsidR="008423E4" w:rsidRPr="00B31F0E" w:rsidRDefault="006172AB" w:rsidP="008423E4"/>
    <w:p w:rsidR="008423E4" w:rsidRPr="00742794" w:rsidRDefault="006172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77C2F" w:rsidTr="00345119">
        <w:tc>
          <w:tcPr>
            <w:tcW w:w="9576" w:type="dxa"/>
          </w:tcPr>
          <w:p w:rsidR="008423E4" w:rsidRPr="00861995" w:rsidRDefault="006172AB" w:rsidP="00345119">
            <w:pPr>
              <w:jc w:val="right"/>
            </w:pPr>
            <w:r>
              <w:t>C.S.H.B. 4372</w:t>
            </w:r>
          </w:p>
        </w:tc>
      </w:tr>
      <w:tr w:rsidR="00877C2F" w:rsidTr="00345119">
        <w:tc>
          <w:tcPr>
            <w:tcW w:w="9576" w:type="dxa"/>
          </w:tcPr>
          <w:p w:rsidR="008423E4" w:rsidRPr="00861995" w:rsidRDefault="006172AB" w:rsidP="00BB265F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877C2F" w:rsidTr="00345119">
        <w:tc>
          <w:tcPr>
            <w:tcW w:w="9576" w:type="dxa"/>
          </w:tcPr>
          <w:p w:rsidR="008423E4" w:rsidRPr="00861995" w:rsidRDefault="006172AB" w:rsidP="00345119">
            <w:pPr>
              <w:jc w:val="right"/>
            </w:pPr>
            <w:r>
              <w:t>Human Services</w:t>
            </w:r>
          </w:p>
        </w:tc>
      </w:tr>
      <w:tr w:rsidR="00877C2F" w:rsidTr="00345119">
        <w:tc>
          <w:tcPr>
            <w:tcW w:w="9576" w:type="dxa"/>
          </w:tcPr>
          <w:p w:rsidR="008423E4" w:rsidRDefault="006172AB" w:rsidP="009848D2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172AB" w:rsidP="008423E4">
      <w:pPr>
        <w:tabs>
          <w:tab w:val="right" w:pos="9360"/>
        </w:tabs>
      </w:pPr>
    </w:p>
    <w:p w:rsidR="008423E4" w:rsidRDefault="006172AB" w:rsidP="008423E4"/>
    <w:p w:rsidR="008423E4" w:rsidRDefault="006172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77C2F" w:rsidTr="00345119">
        <w:tc>
          <w:tcPr>
            <w:tcW w:w="9576" w:type="dxa"/>
          </w:tcPr>
          <w:p w:rsidR="008423E4" w:rsidRPr="00A8133F" w:rsidRDefault="006172AB" w:rsidP="007B08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172AB" w:rsidP="007B08D9"/>
          <w:p w:rsidR="008423E4" w:rsidRDefault="006172AB" w:rsidP="007B08D9">
            <w:pPr>
              <w:pStyle w:val="Header"/>
              <w:jc w:val="both"/>
            </w:pPr>
            <w:r>
              <w:t xml:space="preserve">It has been suggested that there </w:t>
            </w:r>
            <w:r>
              <w:t>is no</w:t>
            </w:r>
            <w:r>
              <w:t xml:space="preserve"> </w:t>
            </w:r>
            <w:r>
              <w:t xml:space="preserve">clear </w:t>
            </w:r>
            <w:r>
              <w:t>protocol for</w:t>
            </w:r>
            <w:r>
              <w:t xml:space="preserve"> reporting </w:t>
            </w:r>
            <w:r>
              <w:t>c</w:t>
            </w:r>
            <w:r>
              <w:t xml:space="preserve">ases of abuse that occur at </w:t>
            </w:r>
            <w:r>
              <w:t xml:space="preserve">a </w:t>
            </w:r>
            <w:r>
              <w:t>youth</w:t>
            </w:r>
            <w:r>
              <w:t xml:space="preserve"> summer camp</w:t>
            </w:r>
            <w:r>
              <w:t>,</w:t>
            </w:r>
            <w:r>
              <w:t xml:space="preserve"> leav</w:t>
            </w:r>
            <w:r>
              <w:t>ing</w:t>
            </w:r>
            <w:r>
              <w:t xml:space="preserve"> parents without </w:t>
            </w:r>
            <w:r>
              <w:t>sufficient information or guidance to help</w:t>
            </w:r>
            <w:r>
              <w:t xml:space="preserve"> </w:t>
            </w:r>
            <w:r>
              <w:t>determin</w:t>
            </w:r>
            <w:r>
              <w:t>e</w:t>
            </w:r>
            <w:r>
              <w:t xml:space="preserve"> </w:t>
            </w:r>
            <w:r>
              <w:t xml:space="preserve">whether </w:t>
            </w:r>
            <w:r>
              <w:t>a</w:t>
            </w:r>
            <w:r>
              <w:t xml:space="preserve"> </w:t>
            </w:r>
            <w:r>
              <w:t>camp</w:t>
            </w:r>
            <w:r>
              <w:t xml:space="preserve"> is safe for their children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4372</w:t>
            </w:r>
            <w:r>
              <w:t xml:space="preserve"> seeks to address this issue by </w:t>
            </w:r>
            <w:r>
              <w:t>establishing certain procedures and notice requirements</w:t>
            </w:r>
            <w:r>
              <w:t xml:space="preserve"> relating to youth camp abuse complaints an</w:t>
            </w:r>
            <w:r>
              <w:t>d compliance orders</w:t>
            </w:r>
            <w:r>
              <w:t>.</w:t>
            </w:r>
            <w:r>
              <w:t xml:space="preserve">  </w:t>
            </w:r>
          </w:p>
          <w:p w:rsidR="008423E4" w:rsidRPr="00E26B13" w:rsidRDefault="006172AB" w:rsidP="007B08D9">
            <w:pPr>
              <w:rPr>
                <w:b/>
              </w:rPr>
            </w:pPr>
          </w:p>
        </w:tc>
      </w:tr>
      <w:tr w:rsidR="00877C2F" w:rsidTr="00345119">
        <w:tc>
          <w:tcPr>
            <w:tcW w:w="9576" w:type="dxa"/>
          </w:tcPr>
          <w:p w:rsidR="0017725B" w:rsidRDefault="006172AB" w:rsidP="007B08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172AB" w:rsidP="007B08D9">
            <w:pPr>
              <w:rPr>
                <w:b/>
                <w:u w:val="single"/>
              </w:rPr>
            </w:pPr>
          </w:p>
          <w:p w:rsidR="00D474B9" w:rsidRPr="00D474B9" w:rsidRDefault="006172AB" w:rsidP="007B08D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6172AB" w:rsidP="007B08D9">
            <w:pPr>
              <w:rPr>
                <w:b/>
                <w:u w:val="single"/>
              </w:rPr>
            </w:pPr>
          </w:p>
        </w:tc>
      </w:tr>
      <w:tr w:rsidR="00877C2F" w:rsidTr="00345119">
        <w:tc>
          <w:tcPr>
            <w:tcW w:w="9576" w:type="dxa"/>
          </w:tcPr>
          <w:p w:rsidR="008423E4" w:rsidRPr="00A8133F" w:rsidRDefault="006172AB" w:rsidP="007B08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172AB" w:rsidP="007B08D9"/>
          <w:p w:rsidR="00D474B9" w:rsidRDefault="006172AB" w:rsidP="007B08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 1</w:t>
            </w:r>
            <w:r>
              <w:t xml:space="preserve"> of this bill.</w:t>
            </w:r>
          </w:p>
          <w:p w:rsidR="008423E4" w:rsidRPr="00E21FDC" w:rsidRDefault="006172AB" w:rsidP="007B08D9">
            <w:pPr>
              <w:rPr>
                <w:b/>
              </w:rPr>
            </w:pPr>
          </w:p>
        </w:tc>
      </w:tr>
      <w:tr w:rsidR="00877C2F" w:rsidTr="00345119">
        <w:tc>
          <w:tcPr>
            <w:tcW w:w="9576" w:type="dxa"/>
          </w:tcPr>
          <w:p w:rsidR="008423E4" w:rsidRDefault="006172AB" w:rsidP="007B08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7B08D9" w:rsidRPr="00A8133F" w:rsidRDefault="006172AB" w:rsidP="007B08D9">
            <w:pPr>
              <w:rPr>
                <w:b/>
              </w:rPr>
            </w:pPr>
          </w:p>
          <w:p w:rsidR="001649E0" w:rsidRDefault="006172AB" w:rsidP="007B08D9">
            <w:pPr>
              <w:pStyle w:val="Header"/>
              <w:jc w:val="both"/>
            </w:pPr>
            <w:r>
              <w:t>C.S.</w:t>
            </w:r>
            <w:r>
              <w:t xml:space="preserve">H.B. 4372 amends the Health and Safety Code to </w:t>
            </w:r>
            <w:r>
              <w:t>require the Department of State Health Services (DSHS), in making a determination on issuance, renewal, or revocation of a youth camp operator's license, to consider whether the</w:t>
            </w:r>
            <w:r>
              <w:t xml:space="preserve"> youth camp employs or formerly employed an individual who was convicted of an act of sexual abuse</w:t>
            </w:r>
            <w:r w:rsidRPr="00A5151B">
              <w:t xml:space="preserve">, as defined for the offense of continuous </w:t>
            </w:r>
            <w:r w:rsidRPr="00AE09B1">
              <w:t>sexual abuse of a young child or children,</w:t>
            </w:r>
            <w:r>
              <w:t xml:space="preserve"> arising from the individual's employment with the camp.</w:t>
            </w:r>
          </w:p>
          <w:p w:rsidR="001649E0" w:rsidRDefault="006172AB" w:rsidP="007B08D9">
            <w:pPr>
              <w:pStyle w:val="Header"/>
              <w:jc w:val="both"/>
            </w:pPr>
          </w:p>
          <w:p w:rsidR="001649E0" w:rsidRDefault="006172AB" w:rsidP="007B08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4372 r</w:t>
            </w:r>
            <w:r>
              <w:t xml:space="preserve">equires the </w:t>
            </w:r>
            <w:r w:rsidRPr="00DC645B">
              <w:t xml:space="preserve">executive commissioner of </w:t>
            </w:r>
            <w:r w:rsidRPr="00A46A36">
              <w:t xml:space="preserve">the Health and Human Services Commission </w:t>
            </w:r>
            <w:r>
              <w:t xml:space="preserve">by rule to </w:t>
            </w:r>
            <w:r w:rsidRPr="00DC645B">
              <w:t xml:space="preserve">establish a procedure for </w:t>
            </w:r>
            <w:r>
              <w:t xml:space="preserve">DSHS </w:t>
            </w:r>
            <w:r w:rsidRPr="00DC645B">
              <w:t>to forward a report of alleged abuse of a camper received by</w:t>
            </w:r>
            <w:r>
              <w:t xml:space="preserve"> DSHS to </w:t>
            </w:r>
            <w:r w:rsidRPr="00744854">
              <w:t xml:space="preserve">the Department of Family and Protective Services </w:t>
            </w:r>
            <w:r w:rsidRPr="00DC645B">
              <w:t>or another approp</w:t>
            </w:r>
            <w:r w:rsidRPr="00DC645B">
              <w:t>riate agency.</w:t>
            </w:r>
            <w:r>
              <w:t xml:space="preserve"> The bill requires a youth camp operator, if a law enforcement agency notifies the operator of the investigation or conviction of an individual who is employed or was formerly employed by the camp for </w:t>
            </w:r>
            <w:r w:rsidRPr="00A5151B">
              <w:t>an applicable act of sexual abuse</w:t>
            </w:r>
            <w:r>
              <w:t xml:space="preserve"> and the </w:t>
            </w:r>
            <w:r>
              <w:t xml:space="preserve">investigation or conviction arises from the individual's employment with the camp, to do the following: </w:t>
            </w:r>
          </w:p>
          <w:p w:rsidR="001649E0" w:rsidRDefault="006172AB" w:rsidP="007B08D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immediately notify DSHS of the investigation or conviction; and </w:t>
            </w:r>
          </w:p>
          <w:p w:rsidR="001649E0" w:rsidRDefault="006172AB" w:rsidP="007B08D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CB0010">
              <w:t xml:space="preserve">retain all records related to the investigation or conviction until </w:t>
            </w:r>
            <w:r>
              <w:t>DSHS</w:t>
            </w:r>
            <w:r w:rsidRPr="00CB0010">
              <w:t xml:space="preserve"> notifies the camp that the record retention is no longer required.</w:t>
            </w:r>
            <w:r>
              <w:t xml:space="preserve"> </w:t>
            </w:r>
          </w:p>
          <w:p w:rsidR="001649E0" w:rsidRDefault="006172AB" w:rsidP="007B08D9">
            <w:pPr>
              <w:pStyle w:val="Header"/>
              <w:jc w:val="both"/>
            </w:pPr>
          </w:p>
          <w:p w:rsidR="00660355" w:rsidRDefault="006172AB" w:rsidP="007B08D9">
            <w:pPr>
              <w:pStyle w:val="Header"/>
              <w:jc w:val="both"/>
            </w:pPr>
            <w:r>
              <w:t xml:space="preserve">C.S.H.B. 4372 </w:t>
            </w:r>
            <w:r>
              <w:t>require</w:t>
            </w:r>
            <w:r>
              <w:t>s</w:t>
            </w:r>
            <w:r>
              <w:t xml:space="preserve"> a </w:t>
            </w:r>
            <w:r w:rsidRPr="00DC645B">
              <w:t>youth camp operator</w:t>
            </w:r>
            <w:r>
              <w:t xml:space="preserve"> to</w:t>
            </w:r>
            <w:r w:rsidRPr="00DC645B">
              <w:t xml:space="preserve"> provide notice to the public regarding the method for reporting</w:t>
            </w:r>
            <w:r>
              <w:t xml:space="preserve"> to </w:t>
            </w:r>
            <w:r w:rsidRPr="00DC645B">
              <w:t>DSHS</w:t>
            </w:r>
            <w:r w:rsidRPr="00DC645B">
              <w:t xml:space="preserve"> suspected abuse occurring at the youth camp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 xml:space="preserve">sets out acceptable methods for providing </w:t>
            </w:r>
            <w:r>
              <w:t>the</w:t>
            </w:r>
            <w:r>
              <w:t xml:space="preserve"> notice</w:t>
            </w:r>
            <w:r>
              <w:t xml:space="preserve"> and</w:t>
            </w:r>
            <w:r>
              <w:t xml:space="preserve"> requires</w:t>
            </w:r>
            <w:r>
              <w:t xml:space="preserve"> DSHS</w:t>
            </w:r>
            <w:r>
              <w:t xml:space="preserve">, not later than December 1, 2019, </w:t>
            </w:r>
            <w:r>
              <w:t xml:space="preserve">to </w:t>
            </w:r>
            <w:r w:rsidRPr="00DC645B">
              <w:t>prescribe the content of the</w:t>
            </w:r>
            <w:r>
              <w:t xml:space="preserve"> required</w:t>
            </w:r>
            <w:r w:rsidRPr="00DC645B">
              <w:t xml:space="preserve"> notice</w:t>
            </w:r>
            <w:r>
              <w:t>.</w:t>
            </w:r>
            <w:r>
              <w:t xml:space="preserve"> </w:t>
            </w:r>
          </w:p>
          <w:p w:rsidR="00660355" w:rsidRDefault="006172AB" w:rsidP="007B08D9">
            <w:pPr>
              <w:pStyle w:val="Header"/>
              <w:jc w:val="both"/>
            </w:pPr>
          </w:p>
          <w:p w:rsidR="00AE09B1" w:rsidRDefault="006172AB" w:rsidP="007B08D9">
            <w:pPr>
              <w:pStyle w:val="Header"/>
              <w:jc w:val="both"/>
            </w:pPr>
            <w:r>
              <w:t>C.S.H.B. 4372</w:t>
            </w:r>
            <w:r>
              <w:t xml:space="preserve"> requires DSHS to post on the DSHS website each youth camp compliance order issued by D</w:t>
            </w:r>
            <w:r>
              <w:t>SHS until at least the third anniversary of the date the compliance order was finally adjudicated. The bill requires</w:t>
            </w:r>
            <w:r>
              <w:t xml:space="preserve"> a youth camp operator to include on the camp's publicly accessible website a clearly marked direct link to </w:t>
            </w:r>
            <w:r>
              <w:t>the</w:t>
            </w:r>
            <w:r>
              <w:t xml:space="preserve"> web page on the DSHS website</w:t>
            </w:r>
            <w:r>
              <w:t xml:space="preserve"> </w:t>
            </w:r>
            <w:r w:rsidRPr="001B1A16">
              <w:t>on which the department posts youth camp compliance orders issued by</w:t>
            </w:r>
            <w:r>
              <w:t xml:space="preserve"> DSHS</w:t>
            </w:r>
            <w:r>
              <w:t xml:space="preserve">. </w:t>
            </w:r>
          </w:p>
          <w:p w:rsidR="00AE09B1" w:rsidRDefault="006172AB" w:rsidP="007B08D9">
            <w:pPr>
              <w:pStyle w:val="Header"/>
              <w:jc w:val="both"/>
            </w:pPr>
          </w:p>
          <w:p w:rsidR="008423E4" w:rsidRDefault="006172AB" w:rsidP="007B08D9">
            <w:pPr>
              <w:pStyle w:val="Header"/>
              <w:jc w:val="both"/>
            </w:pPr>
            <w:r>
              <w:t xml:space="preserve">C.S.H.B. 4372 </w:t>
            </w:r>
            <w:r>
              <w:t>exempts a youth camp operator from the requirement to comply with the bill's provisions until January 1, 2020.</w:t>
            </w:r>
          </w:p>
          <w:p w:rsidR="007B08D9" w:rsidRPr="00835628" w:rsidRDefault="006172AB" w:rsidP="007B08D9">
            <w:pPr>
              <w:pStyle w:val="Header"/>
              <w:jc w:val="both"/>
            </w:pPr>
          </w:p>
        </w:tc>
      </w:tr>
      <w:tr w:rsidR="00877C2F" w:rsidTr="00345119">
        <w:tc>
          <w:tcPr>
            <w:tcW w:w="9576" w:type="dxa"/>
          </w:tcPr>
          <w:p w:rsidR="008423E4" w:rsidRPr="00A8133F" w:rsidRDefault="006172AB" w:rsidP="007B08D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172AB" w:rsidP="007B08D9"/>
          <w:p w:rsidR="008423E4" w:rsidRPr="003624F2" w:rsidRDefault="006172AB" w:rsidP="007B08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6172AB" w:rsidP="007B08D9">
            <w:pPr>
              <w:rPr>
                <w:b/>
              </w:rPr>
            </w:pPr>
          </w:p>
        </w:tc>
      </w:tr>
      <w:tr w:rsidR="00877C2F" w:rsidTr="00345119">
        <w:tc>
          <w:tcPr>
            <w:tcW w:w="9576" w:type="dxa"/>
          </w:tcPr>
          <w:p w:rsidR="004A725C" w:rsidRDefault="006172AB" w:rsidP="007B08D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</w:t>
            </w:r>
            <w:r>
              <w:rPr>
                <w:b/>
                <w:u w:val="single"/>
              </w:rPr>
              <w:t>OF ORIGINAL AND SUBSTITUTE</w:t>
            </w:r>
          </w:p>
          <w:p w:rsidR="007B08D9" w:rsidRPr="004A725C" w:rsidRDefault="006172AB" w:rsidP="007B08D9">
            <w:pPr>
              <w:jc w:val="both"/>
              <w:rPr>
                <w:b/>
                <w:u w:val="single"/>
              </w:rPr>
            </w:pPr>
          </w:p>
          <w:p w:rsidR="004A725C" w:rsidRDefault="006172AB" w:rsidP="007B08D9">
            <w:pPr>
              <w:jc w:val="both"/>
            </w:pPr>
            <w:r>
              <w:t>While C.S.H.B. 4372 may differ from the original in minor or nonsubstantive ways, the following summarizes the substantial differences between the introduced and committee substitute versions of the bill.</w:t>
            </w:r>
          </w:p>
          <w:p w:rsidR="004A725C" w:rsidRDefault="006172AB" w:rsidP="007B08D9">
            <w:pPr>
              <w:jc w:val="both"/>
            </w:pPr>
          </w:p>
          <w:p w:rsidR="005A624B" w:rsidRDefault="006172AB" w:rsidP="007B08D9">
            <w:pPr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>the following requirements:</w:t>
            </w:r>
          </w:p>
          <w:p w:rsidR="005A624B" w:rsidRDefault="006172AB" w:rsidP="007B08D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a requirement </w:t>
            </w:r>
            <w:r>
              <w:t>for DSHS, in making a determination on</w:t>
            </w:r>
            <w:r>
              <w:t xml:space="preserve"> </w:t>
            </w:r>
            <w:r>
              <w:t>issuance, renewal, or revocation of a youth camp operator's license</w:t>
            </w:r>
            <w:r>
              <w:t>,</w:t>
            </w:r>
            <w:r>
              <w:t xml:space="preserve"> </w:t>
            </w:r>
            <w:r>
              <w:t>to</w:t>
            </w:r>
            <w:r>
              <w:t xml:space="preserve"> consider whether the youth camp employs or formerly employed an individual who was convicted o</w:t>
            </w:r>
            <w:r>
              <w:t xml:space="preserve">f </w:t>
            </w:r>
            <w:r w:rsidRPr="00A5151B">
              <w:t>an</w:t>
            </w:r>
            <w:r w:rsidRPr="00A5151B">
              <w:t xml:space="preserve"> applicable</w:t>
            </w:r>
            <w:r w:rsidRPr="00A5151B">
              <w:t xml:space="preserve"> act </w:t>
            </w:r>
            <w:r w:rsidRPr="00A5151B">
              <w:t xml:space="preserve">of </w:t>
            </w:r>
            <w:r w:rsidRPr="00A5151B">
              <w:t>sexual abuse</w:t>
            </w:r>
            <w:r>
              <w:t xml:space="preserve"> arising from the individual's employment with the camp</w:t>
            </w:r>
            <w:r>
              <w:t>;</w:t>
            </w:r>
            <w:r>
              <w:t xml:space="preserve"> and</w:t>
            </w:r>
          </w:p>
          <w:p w:rsidR="004A725C" w:rsidRDefault="006172AB" w:rsidP="007B08D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requirement</w:t>
            </w:r>
            <w:r>
              <w:t>s</w:t>
            </w:r>
            <w:r>
              <w:t xml:space="preserve"> for a youth camp operator</w:t>
            </w:r>
            <w:r>
              <w:t xml:space="preserve">, if a law enforcement agency notifies </w:t>
            </w:r>
            <w:r>
              <w:t>the</w:t>
            </w:r>
            <w:r>
              <w:t xml:space="preserve"> operator of </w:t>
            </w:r>
            <w:r>
              <w:t>a certain investigation or conviction of a current or former employ</w:t>
            </w:r>
            <w:r>
              <w:t>ee for an act of sexual abuse</w:t>
            </w:r>
            <w:r>
              <w:t xml:space="preserve">, </w:t>
            </w:r>
            <w:r>
              <w:t>to</w:t>
            </w:r>
            <w:r w:rsidRPr="00E365DE">
              <w:t xml:space="preserve"> </w:t>
            </w:r>
            <w:r w:rsidRPr="00087882">
              <w:t xml:space="preserve">immediately </w:t>
            </w:r>
            <w:r w:rsidRPr="00E365DE">
              <w:t>notif</w:t>
            </w:r>
            <w:r>
              <w:t>y</w:t>
            </w:r>
            <w:r w:rsidRPr="00E365DE">
              <w:t xml:space="preserve"> DSHS</w:t>
            </w:r>
            <w:r>
              <w:t xml:space="preserve"> </w:t>
            </w:r>
            <w:r w:rsidRPr="00087882">
              <w:t>of the investigation or conviction</w:t>
            </w:r>
            <w:r w:rsidRPr="00E365DE">
              <w:t xml:space="preserve"> and </w:t>
            </w:r>
            <w:r w:rsidRPr="00087882">
              <w:t xml:space="preserve">retain all </w:t>
            </w:r>
            <w:r>
              <w:t xml:space="preserve">related </w:t>
            </w:r>
            <w:r w:rsidRPr="00087882">
              <w:t>records until DSHS notifies the camp that the record retention is no longer required</w:t>
            </w:r>
            <w:r>
              <w:t>.</w:t>
            </w:r>
          </w:p>
          <w:p w:rsidR="004A725C" w:rsidRDefault="006172AB" w:rsidP="007B08D9">
            <w:pPr>
              <w:jc w:val="both"/>
            </w:pPr>
          </w:p>
          <w:p w:rsidR="004A725C" w:rsidRDefault="006172AB" w:rsidP="007B08D9">
            <w:pPr>
              <w:jc w:val="both"/>
            </w:pPr>
            <w:r>
              <w:t xml:space="preserve">The substitute </w:t>
            </w:r>
            <w:r>
              <w:t xml:space="preserve">does not include provisions requiring </w:t>
            </w:r>
            <w:r>
              <w:t>a</w:t>
            </w:r>
            <w:r>
              <w:t xml:space="preserve"> youth camp</w:t>
            </w:r>
            <w:r>
              <w:t xml:space="preserve"> operator </w:t>
            </w:r>
            <w:r w:rsidRPr="002A3734">
              <w:t>to make information available to the public about a complaint of abuse filed against the youth camp or the operator regarding a violation of the Texas Youth Camp Safety and Health Act or a rule adopted under the act that has been fina</w:t>
            </w:r>
            <w:r w:rsidRPr="002A3734">
              <w:t>lly adjudicated</w:t>
            </w:r>
            <w:r>
              <w:t xml:space="preserve">, </w:t>
            </w:r>
            <w:r>
              <w:t xml:space="preserve">but </w:t>
            </w:r>
            <w:r>
              <w:t xml:space="preserve">the substitute </w:t>
            </w:r>
            <w:r>
              <w:t>includes</w:t>
            </w:r>
            <w:r>
              <w:t xml:space="preserve"> provisions</w:t>
            </w:r>
            <w:r>
              <w:t xml:space="preserve"> instead</w:t>
            </w:r>
            <w:r>
              <w:t xml:space="preserve"> requiring DSHS to post on </w:t>
            </w:r>
            <w:r>
              <w:t>its</w:t>
            </w:r>
            <w:r>
              <w:t xml:space="preserve"> website each youth camp compliance order issued by DSHS </w:t>
            </w:r>
            <w:r w:rsidRPr="00A5151B">
              <w:t>until a certain date</w:t>
            </w:r>
            <w:r>
              <w:t xml:space="preserve"> and requiring a</w:t>
            </w:r>
            <w:r>
              <w:t xml:space="preserve"> youth camp</w:t>
            </w:r>
            <w:r>
              <w:t xml:space="preserve"> operator to include on the camp's publicly accessible website a clearly marked direct link to that web page.  </w:t>
            </w:r>
          </w:p>
          <w:p w:rsidR="004A725C" w:rsidRPr="004A725C" w:rsidRDefault="006172AB" w:rsidP="007B08D9">
            <w:pPr>
              <w:jc w:val="both"/>
            </w:pPr>
          </w:p>
        </w:tc>
      </w:tr>
      <w:tr w:rsidR="00877C2F" w:rsidTr="00345119">
        <w:tc>
          <w:tcPr>
            <w:tcW w:w="9576" w:type="dxa"/>
          </w:tcPr>
          <w:p w:rsidR="00BB265F" w:rsidRPr="009C1E9A" w:rsidRDefault="006172AB" w:rsidP="007B08D9">
            <w:pPr>
              <w:rPr>
                <w:b/>
                <w:u w:val="single"/>
              </w:rPr>
            </w:pPr>
          </w:p>
        </w:tc>
      </w:tr>
      <w:tr w:rsidR="00877C2F" w:rsidTr="00345119">
        <w:tc>
          <w:tcPr>
            <w:tcW w:w="9576" w:type="dxa"/>
          </w:tcPr>
          <w:p w:rsidR="00BB265F" w:rsidRPr="00BB265F" w:rsidRDefault="006172AB" w:rsidP="007B08D9">
            <w:pPr>
              <w:jc w:val="both"/>
            </w:pPr>
          </w:p>
        </w:tc>
      </w:tr>
    </w:tbl>
    <w:p w:rsidR="008423E4" w:rsidRPr="00BE0E75" w:rsidRDefault="006172A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172A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72AB">
      <w:r>
        <w:separator/>
      </w:r>
    </w:p>
  </w:endnote>
  <w:endnote w:type="continuationSeparator" w:id="0">
    <w:p w:rsidR="00000000" w:rsidRDefault="0061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7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77C2F" w:rsidTr="009C1E9A">
      <w:trPr>
        <w:cantSplit/>
      </w:trPr>
      <w:tc>
        <w:tcPr>
          <w:tcW w:w="0" w:type="pct"/>
        </w:tcPr>
        <w:p w:rsidR="00137D90" w:rsidRDefault="006172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172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172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172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172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7C2F" w:rsidTr="009C1E9A">
      <w:trPr>
        <w:cantSplit/>
      </w:trPr>
      <w:tc>
        <w:tcPr>
          <w:tcW w:w="0" w:type="pct"/>
        </w:tcPr>
        <w:p w:rsidR="00EC379B" w:rsidRDefault="006172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172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31389</w:t>
          </w:r>
        </w:p>
      </w:tc>
      <w:tc>
        <w:tcPr>
          <w:tcW w:w="2453" w:type="pct"/>
        </w:tcPr>
        <w:p w:rsidR="00EC379B" w:rsidRDefault="006172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19.122.741</w:t>
          </w:r>
          <w:r>
            <w:fldChar w:fldCharType="end"/>
          </w:r>
        </w:p>
      </w:tc>
    </w:tr>
    <w:tr w:rsidR="00877C2F" w:rsidTr="009C1E9A">
      <w:trPr>
        <w:cantSplit/>
      </w:trPr>
      <w:tc>
        <w:tcPr>
          <w:tcW w:w="0" w:type="pct"/>
        </w:tcPr>
        <w:p w:rsidR="00EC379B" w:rsidRDefault="006172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172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30489</w:t>
          </w:r>
        </w:p>
      </w:tc>
      <w:tc>
        <w:tcPr>
          <w:tcW w:w="2453" w:type="pct"/>
        </w:tcPr>
        <w:p w:rsidR="00EC379B" w:rsidRDefault="006172AB" w:rsidP="006D504F">
          <w:pPr>
            <w:pStyle w:val="Footer"/>
            <w:rPr>
              <w:rStyle w:val="PageNumber"/>
            </w:rPr>
          </w:pPr>
        </w:p>
        <w:p w:rsidR="00EC379B" w:rsidRDefault="006172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7C2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172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172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172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7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72AB">
      <w:r>
        <w:separator/>
      </w:r>
    </w:p>
  </w:footnote>
  <w:footnote w:type="continuationSeparator" w:id="0">
    <w:p w:rsidR="00000000" w:rsidRDefault="0061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7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7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7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055"/>
    <w:multiLevelType w:val="hybridMultilevel"/>
    <w:tmpl w:val="C618273E"/>
    <w:lvl w:ilvl="0" w:tplc="28A00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A3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D45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4E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C3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ED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06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69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8E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32A25"/>
    <w:multiLevelType w:val="hybridMultilevel"/>
    <w:tmpl w:val="0B5881BE"/>
    <w:lvl w:ilvl="0" w:tplc="204C4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C440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6E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88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45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AF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0B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22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ED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2F"/>
    <w:rsid w:val="006172AB"/>
    <w:rsid w:val="0087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C9D81F-00C3-400C-B494-08F162FE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74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7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74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7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74B9"/>
    <w:rPr>
      <w:b/>
      <w:bCs/>
    </w:rPr>
  </w:style>
  <w:style w:type="paragraph" w:styleId="ListParagraph">
    <w:name w:val="List Paragraph"/>
    <w:basedOn w:val="Normal"/>
    <w:uiPriority w:val="34"/>
    <w:qFormat/>
    <w:rsid w:val="005A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4062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HB04372 (Committee Report (Substituted))</vt:lpstr>
    </vt:vector>
  </TitlesOfParts>
  <Company>State of Texas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31389</dc:subject>
  <dc:creator>State of Texas</dc:creator>
  <dc:description>HB 4372 by Murphy-(H)Human Services (Substitute Document Number: 86R 30489)</dc:description>
  <cp:lastModifiedBy>Scotty Wimberley</cp:lastModifiedBy>
  <cp:revision>2</cp:revision>
  <cp:lastPrinted>2003-11-26T17:21:00Z</cp:lastPrinted>
  <dcterms:created xsi:type="dcterms:W3CDTF">2019-05-03T21:40:00Z</dcterms:created>
  <dcterms:modified xsi:type="dcterms:W3CDTF">2019-05-03T21:40:00Z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19.122.741</vt:lpwstr>
  </property>
</Properties>
</file>