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52AE" w:rsidTr="00345119">
        <w:tc>
          <w:tcPr>
            <w:tcW w:w="9576" w:type="dxa"/>
            <w:noWrap/>
          </w:tcPr>
          <w:p w:rsidR="008423E4" w:rsidRPr="0022177D" w:rsidRDefault="00B76F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6F75" w:rsidP="008423E4">
      <w:pPr>
        <w:jc w:val="center"/>
      </w:pPr>
    </w:p>
    <w:p w:rsidR="008423E4" w:rsidRPr="00B31F0E" w:rsidRDefault="00B76F75" w:rsidP="008423E4"/>
    <w:p w:rsidR="008423E4" w:rsidRPr="00742794" w:rsidRDefault="00B76F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52AE" w:rsidTr="00345119">
        <w:tc>
          <w:tcPr>
            <w:tcW w:w="9576" w:type="dxa"/>
          </w:tcPr>
          <w:p w:rsidR="008423E4" w:rsidRPr="00861995" w:rsidRDefault="00B76F75" w:rsidP="00345119">
            <w:pPr>
              <w:jc w:val="right"/>
            </w:pPr>
            <w:r>
              <w:t>H.B. 4413</w:t>
            </w:r>
          </w:p>
        </w:tc>
      </w:tr>
      <w:tr w:rsidR="00F952AE" w:rsidTr="00345119">
        <w:tc>
          <w:tcPr>
            <w:tcW w:w="9576" w:type="dxa"/>
          </w:tcPr>
          <w:p w:rsidR="008423E4" w:rsidRPr="00861995" w:rsidRDefault="00B76F75" w:rsidP="00AE5C9A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F952AE" w:rsidTr="00345119">
        <w:tc>
          <w:tcPr>
            <w:tcW w:w="9576" w:type="dxa"/>
          </w:tcPr>
          <w:p w:rsidR="008423E4" w:rsidRPr="00861995" w:rsidRDefault="00B76F75" w:rsidP="00345119">
            <w:pPr>
              <w:jc w:val="right"/>
            </w:pPr>
            <w:r>
              <w:t>Defense &amp; Veterans' Affairs</w:t>
            </w:r>
          </w:p>
        </w:tc>
      </w:tr>
      <w:tr w:rsidR="00F952AE" w:rsidTr="00345119">
        <w:tc>
          <w:tcPr>
            <w:tcW w:w="9576" w:type="dxa"/>
          </w:tcPr>
          <w:p w:rsidR="008423E4" w:rsidRDefault="00B76F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6F75" w:rsidP="008423E4">
      <w:pPr>
        <w:tabs>
          <w:tab w:val="right" w:pos="9360"/>
        </w:tabs>
      </w:pPr>
    </w:p>
    <w:p w:rsidR="008423E4" w:rsidRDefault="00B76F75" w:rsidP="008423E4"/>
    <w:p w:rsidR="008423E4" w:rsidRDefault="00B76F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52AE" w:rsidTr="00345119">
        <w:tc>
          <w:tcPr>
            <w:tcW w:w="9576" w:type="dxa"/>
          </w:tcPr>
          <w:p w:rsidR="008423E4" w:rsidRPr="00A8133F" w:rsidRDefault="00B76F75" w:rsidP="004D3D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6F75" w:rsidP="004D3D3C"/>
          <w:p w:rsidR="008423E4" w:rsidRDefault="00B76F75" w:rsidP="004D3D3C">
            <w:pPr>
              <w:pStyle w:val="Header"/>
              <w:jc w:val="both"/>
            </w:pPr>
            <w:r>
              <w:t>There have been not</w:t>
            </w:r>
            <w:r>
              <w:t>able</w:t>
            </w:r>
            <w:r>
              <w:t xml:space="preserve"> </w:t>
            </w:r>
            <w:r>
              <w:t>burdens</w:t>
            </w:r>
            <w:r>
              <w:t xml:space="preserve"> facing </w:t>
            </w:r>
            <w:r>
              <w:t xml:space="preserve">military service members, military spouses, and military veterans </w:t>
            </w:r>
            <w:r>
              <w:t xml:space="preserve">who have occupational licenses and who attempt to </w:t>
            </w:r>
            <w:r>
              <w:t xml:space="preserve">transfer </w:t>
            </w:r>
            <w:r>
              <w:t xml:space="preserve">their licenses from </w:t>
            </w:r>
            <w:r>
              <w:t xml:space="preserve">one </w:t>
            </w:r>
            <w:r>
              <w:t xml:space="preserve">state to </w:t>
            </w:r>
            <w:r>
              <w:t>another</w:t>
            </w:r>
            <w:r>
              <w:t xml:space="preserve">. These individuals face lengthy licensure processes, varying </w:t>
            </w:r>
            <w:r>
              <w:t>rules</w:t>
            </w:r>
            <w:r>
              <w:t xml:space="preserve"> </w:t>
            </w:r>
            <w:r>
              <w:t>of eligibility and</w:t>
            </w:r>
            <w:r>
              <w:t xml:space="preserve"> </w:t>
            </w:r>
            <w:r>
              <w:t xml:space="preserve">standards </w:t>
            </w:r>
            <w:r>
              <w:t xml:space="preserve">for </w:t>
            </w:r>
            <w:r>
              <w:t xml:space="preserve">acceptance, and </w:t>
            </w:r>
            <w:r>
              <w:t>differing documentation requirements for</w:t>
            </w:r>
            <w:r>
              <w:t xml:space="preserve"> establishing residency</w:t>
            </w:r>
            <w:r>
              <w:t>.</w:t>
            </w:r>
            <w:r>
              <w:t xml:space="preserve"> </w:t>
            </w:r>
            <w:r>
              <w:t>H.B. 4413 seeks to</w:t>
            </w:r>
            <w:r>
              <w:t xml:space="preserve"> address this issue by revising the law </w:t>
            </w:r>
            <w:r w:rsidRPr="00746B16">
              <w:t>relating to state occupational licensing of certain military service members, military veterans, and military spouses</w:t>
            </w:r>
            <w:r>
              <w:t>, including educator certification requirement</w:t>
            </w:r>
            <w:r>
              <w:t>s</w:t>
            </w:r>
            <w:r>
              <w:t>,</w:t>
            </w:r>
            <w:r>
              <w:t xml:space="preserve"> and </w:t>
            </w:r>
            <w:r>
              <w:t xml:space="preserve">by </w:t>
            </w:r>
            <w:r>
              <w:t xml:space="preserve">requiring a </w:t>
            </w:r>
            <w:r>
              <w:t xml:space="preserve">state occupational license study with respect to such </w:t>
            </w:r>
            <w:r>
              <w:t>individuals</w:t>
            </w:r>
            <w:r w:rsidRPr="00746B16">
              <w:t>.</w:t>
            </w:r>
            <w:r>
              <w:t xml:space="preserve"> </w:t>
            </w:r>
          </w:p>
          <w:p w:rsidR="008423E4" w:rsidRPr="00E26B13" w:rsidRDefault="00B76F75" w:rsidP="004D3D3C">
            <w:pPr>
              <w:rPr>
                <w:b/>
              </w:rPr>
            </w:pPr>
          </w:p>
        </w:tc>
      </w:tr>
      <w:tr w:rsidR="00F952AE" w:rsidTr="00345119">
        <w:tc>
          <w:tcPr>
            <w:tcW w:w="9576" w:type="dxa"/>
          </w:tcPr>
          <w:p w:rsidR="0017725B" w:rsidRDefault="00B76F75" w:rsidP="004D3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6F75" w:rsidP="004D3D3C">
            <w:pPr>
              <w:rPr>
                <w:b/>
                <w:u w:val="single"/>
              </w:rPr>
            </w:pPr>
          </w:p>
          <w:p w:rsidR="00F04108" w:rsidRPr="00F04108" w:rsidRDefault="00B76F75" w:rsidP="004D3D3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B76F75" w:rsidP="004D3D3C">
            <w:pPr>
              <w:rPr>
                <w:b/>
                <w:u w:val="single"/>
              </w:rPr>
            </w:pPr>
          </w:p>
        </w:tc>
      </w:tr>
      <w:tr w:rsidR="00F952AE" w:rsidTr="00345119">
        <w:tc>
          <w:tcPr>
            <w:tcW w:w="9576" w:type="dxa"/>
          </w:tcPr>
          <w:p w:rsidR="008423E4" w:rsidRPr="00A8133F" w:rsidRDefault="00B76F75" w:rsidP="004D3D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6F75" w:rsidP="004D3D3C"/>
          <w:p w:rsidR="00DB26EE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>
              <w:t xml:space="preserve"> commissioner of education </w:t>
            </w:r>
            <w:r>
              <w:t xml:space="preserve">and the </w:t>
            </w:r>
            <w:r>
              <w:t xml:space="preserve">State Board for Educator Certification </w:t>
            </w:r>
            <w:r>
              <w:t>in SECTION 1 of this bill and to</w:t>
            </w:r>
            <w:r>
              <w:t xml:space="preserve"> a state agency </w:t>
            </w:r>
            <w:r w:rsidRPr="00DB26EE">
              <w:t xml:space="preserve">that issues a license that has a residency requirement </w:t>
            </w:r>
            <w:r>
              <w:t>in SECTION 3 of this bill.</w:t>
            </w:r>
          </w:p>
          <w:p w:rsidR="008423E4" w:rsidRPr="00E21FDC" w:rsidRDefault="00B76F75" w:rsidP="004D3D3C">
            <w:pPr>
              <w:rPr>
                <w:b/>
              </w:rPr>
            </w:pPr>
          </w:p>
        </w:tc>
      </w:tr>
      <w:tr w:rsidR="00F952AE" w:rsidTr="00345119">
        <w:tc>
          <w:tcPr>
            <w:tcW w:w="9576" w:type="dxa"/>
          </w:tcPr>
          <w:p w:rsidR="008423E4" w:rsidRPr="00A8133F" w:rsidRDefault="00B76F75" w:rsidP="004D3D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6F75" w:rsidP="004D3D3C"/>
          <w:p w:rsidR="00FC64BD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4413 amends the Education Code to </w:t>
            </w:r>
            <w:r>
              <w:t xml:space="preserve">authorize the commissioner of education to adopt rules </w:t>
            </w:r>
            <w:r>
              <w:t>establishing exceptions to examination requirements</w:t>
            </w:r>
            <w:r w:rsidRPr="009F60CB">
              <w:t xml:space="preserve"> to obtain</w:t>
            </w:r>
            <w:r>
              <w:t xml:space="preserve"> educator</w:t>
            </w:r>
            <w:r w:rsidRPr="009F60CB">
              <w:t xml:space="preserve"> certificat</w:t>
            </w:r>
            <w:r>
              <w:t>ion</w:t>
            </w:r>
            <w:r w:rsidRPr="009F60CB">
              <w:t xml:space="preserve"> in </w:t>
            </w:r>
            <w:r>
              <w:t xml:space="preserve">Texas </w:t>
            </w:r>
            <w:r>
              <w:t xml:space="preserve">for an educator who </w:t>
            </w:r>
            <w:r w:rsidRPr="009F60CB">
              <w:t>is a military service member, military veteran, or military spouse</w:t>
            </w:r>
            <w:r>
              <w:t>. The bill</w:t>
            </w:r>
            <w:r>
              <w:t xml:space="preserve"> </w:t>
            </w:r>
            <w:r>
              <w:t>revises th</w:t>
            </w:r>
            <w:r>
              <w:t xml:space="preserve">e provision requiring the </w:t>
            </w:r>
            <w:r>
              <w:t xml:space="preserve">State Board for Educator Certification (SBEC) </w:t>
            </w:r>
            <w:r>
              <w:t xml:space="preserve">to propose rules for expediting the processing of an application for </w:t>
            </w:r>
            <w:r>
              <w:t xml:space="preserve">educator </w:t>
            </w:r>
            <w:r>
              <w:t>certificat</w:t>
            </w:r>
            <w:r>
              <w:t>ion</w:t>
            </w:r>
            <w:r>
              <w:t xml:space="preserve"> </w:t>
            </w:r>
            <w:r>
              <w:t xml:space="preserve">of an educator who is a </w:t>
            </w:r>
            <w:r>
              <w:t xml:space="preserve">military service member, military veteran, or </w:t>
            </w:r>
            <w:r>
              <w:t xml:space="preserve">military spouse </w:t>
            </w:r>
            <w:r>
              <w:t>by:</w:t>
            </w:r>
          </w:p>
          <w:p w:rsidR="00FC64BD" w:rsidRDefault="00B76F75" w:rsidP="004D3D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specifying that such </w:t>
            </w:r>
            <w:r>
              <w:t xml:space="preserve">proposed </w:t>
            </w:r>
            <w:r>
              <w:t>rules are applicable to an educator who is a military service member, military veteran, or military spouse</w:t>
            </w:r>
            <w:r>
              <w:t xml:space="preserve"> and </w:t>
            </w:r>
            <w:r>
              <w:t xml:space="preserve">removing the specification that such </w:t>
            </w:r>
            <w:r>
              <w:t xml:space="preserve">proposed </w:t>
            </w:r>
            <w:r>
              <w:t>rules are applicable only to a spouse of a person who is serving on a</w:t>
            </w:r>
            <w:r>
              <w:t>ctive duty as a member of the U.S. armed forces;</w:t>
            </w:r>
          </w:p>
          <w:p w:rsidR="0054676E" w:rsidRDefault="00B76F75" w:rsidP="004D3D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specifying that the </w:t>
            </w:r>
            <w:r>
              <w:t xml:space="preserve">proposed </w:t>
            </w:r>
            <w:r>
              <w:t>rules include rules for providing a permanent change of station or military identification card</w:t>
            </w:r>
            <w:r>
              <w:t xml:space="preserve"> and </w:t>
            </w:r>
            <w:r>
              <w:t xml:space="preserve">removing the specification that such </w:t>
            </w:r>
            <w:r>
              <w:t xml:space="preserve">proposed </w:t>
            </w:r>
            <w:r>
              <w:t>rules provide for the appropriat</w:t>
            </w:r>
            <w:r>
              <w:t>e documentation to establish the educator's status as a spouse of such a person</w:t>
            </w:r>
            <w:r>
              <w:t>; and</w:t>
            </w:r>
          </w:p>
          <w:p w:rsidR="00E43C74" w:rsidRDefault="00B76F75" w:rsidP="001A697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such rules to be proposed in accordance with Occupations Code provisions relating to expedited license procedures and expedited license renewal procedures for mi</w:t>
            </w:r>
            <w:r>
              <w:t>litary service members, military veterans, or military spouses.</w:t>
            </w:r>
          </w:p>
          <w:p w:rsidR="00FC64BD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935F6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4413 </w:t>
            </w:r>
            <w:r>
              <w:t xml:space="preserve">requires </w:t>
            </w:r>
            <w:r>
              <w:t xml:space="preserve">the </w:t>
            </w:r>
            <w:r>
              <w:t xml:space="preserve">SBEC to </w:t>
            </w:r>
            <w:r>
              <w:t xml:space="preserve">post on </w:t>
            </w:r>
            <w:r>
              <w:t xml:space="preserve">its </w:t>
            </w:r>
            <w:r>
              <w:t xml:space="preserve">website the required notice </w:t>
            </w:r>
            <w:r w:rsidRPr="00BD72CB">
              <w:t xml:space="preserve">describing the </w:t>
            </w:r>
            <w:r>
              <w:t>statutory provisions relating to licensing of military service members, military veterans, and military s</w:t>
            </w:r>
            <w:r>
              <w:t>pouses</w:t>
            </w:r>
            <w:r w:rsidRPr="00BD72CB">
              <w:t xml:space="preserve"> that are available to </w:t>
            </w:r>
            <w:r>
              <w:t>those person</w:t>
            </w:r>
            <w:r w:rsidRPr="00BD72CB">
              <w:t>s.</w:t>
            </w:r>
          </w:p>
          <w:p w:rsidR="00F620E6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D72CB" w:rsidRDefault="00B76F75" w:rsidP="004D3D3C">
            <w:pPr>
              <w:pStyle w:val="Header"/>
              <w:jc w:val="both"/>
            </w:pPr>
            <w:r>
              <w:t xml:space="preserve">H.B. 4413 </w:t>
            </w:r>
            <w:r>
              <w:t xml:space="preserve">amends the Government Code to </w:t>
            </w:r>
            <w:r>
              <w:t xml:space="preserve">require </w:t>
            </w:r>
            <w:r>
              <w:t>the Texas Veterans Commission</w:t>
            </w:r>
            <w:r>
              <w:t xml:space="preserve"> (TVC)</w:t>
            </w:r>
            <w:r>
              <w:t xml:space="preserve"> to conduct a study to:</w:t>
            </w:r>
          </w:p>
          <w:p w:rsidR="00BD72CB" w:rsidRDefault="00B76F75" w:rsidP="004D3D3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identify the occupational licenses for which a significant number of military service members, military veterans, or military spouses submit applications to licensing authorities in </w:t>
            </w:r>
            <w:r>
              <w:t>Texas</w:t>
            </w:r>
            <w:r>
              <w:t>;</w:t>
            </w:r>
            <w:r>
              <w:t xml:space="preserve"> and</w:t>
            </w:r>
          </w:p>
          <w:p w:rsidR="00BD72CB" w:rsidRDefault="00B76F75" w:rsidP="004D3D3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examine the occupational licensing requirements of each</w:t>
            </w:r>
            <w:r>
              <w:t xml:space="preserve"> identif</w:t>
            </w:r>
            <w:r>
              <w:t>ied</w:t>
            </w:r>
            <w:r>
              <w:t xml:space="preserve"> licensing authority and</w:t>
            </w:r>
            <w:r>
              <w:t xml:space="preserve"> </w:t>
            </w:r>
            <w:r>
              <w:t>identify opportunities for licensing authorities to:</w:t>
            </w:r>
          </w:p>
          <w:p w:rsidR="00BD72CB" w:rsidRDefault="00B76F75" w:rsidP="004D3D3C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accept substantially equivalent occupational licensing requirements </w:t>
            </w:r>
            <w:r>
              <w:t xml:space="preserve">for documentation, training, education, and experience </w:t>
            </w:r>
            <w:r>
              <w:t xml:space="preserve">from licensing authorities outside </w:t>
            </w:r>
            <w:r>
              <w:t>Texas</w:t>
            </w:r>
            <w:r>
              <w:t xml:space="preserve"> to enable </w:t>
            </w:r>
            <w:r>
              <w:t>t</w:t>
            </w:r>
            <w:r>
              <w:t xml:space="preserve">hose individuals </w:t>
            </w:r>
            <w:r>
              <w:t>to obtain licensure in Texas; and</w:t>
            </w:r>
          </w:p>
          <w:p w:rsidR="00BD72CB" w:rsidRDefault="00B76F75" w:rsidP="001A697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issue temporary licenses to </w:t>
            </w:r>
            <w:r>
              <w:t>those individuals</w:t>
            </w:r>
            <w:r>
              <w:t xml:space="preserve"> who apply for a license and hold a current license issued by another jurisdiction that has licensing requirements substantially equivalent to </w:t>
            </w:r>
            <w:r>
              <w:t>those</w:t>
            </w:r>
            <w:r>
              <w:t xml:space="preserve"> of Texas.</w:t>
            </w:r>
          </w:p>
          <w:p w:rsidR="00E43C74" w:rsidRDefault="00B76F75" w:rsidP="001A697F">
            <w:pPr>
              <w:pStyle w:val="Header"/>
              <w:jc w:val="both"/>
            </w:pPr>
          </w:p>
          <w:p w:rsidR="00676321" w:rsidRDefault="00B76F75" w:rsidP="001A697F">
            <w:pPr>
              <w:pStyle w:val="Header"/>
              <w:jc w:val="both"/>
            </w:pPr>
            <w:r>
              <w:t xml:space="preserve">H.B. 4413 requires the TVC, not later than December 1, 2020, to prepare and submit to the governor, the lieutenant governor, and the legislature a report concerning the results of the </w:t>
            </w:r>
            <w:r>
              <w:t xml:space="preserve">state occupational license </w:t>
            </w:r>
            <w:r>
              <w:t>study, including any recommendations for legi</w:t>
            </w:r>
            <w:r>
              <w:t xml:space="preserve">slative or other action the </w:t>
            </w:r>
            <w:r>
              <w:t>TVC</w:t>
            </w:r>
            <w:r>
              <w:t xml:space="preserve"> considers necessary.</w:t>
            </w:r>
            <w:r>
              <w:t xml:space="preserve"> The bill's provisions regarding the study expire September 1, 2021.</w:t>
            </w:r>
          </w:p>
          <w:p w:rsidR="00676321" w:rsidRDefault="00B76F75" w:rsidP="001A697F">
            <w:pPr>
              <w:pStyle w:val="Header"/>
              <w:jc w:val="both"/>
            </w:pP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4413 amends the Occupations Code to require a state agency, in adopting rules for the issuance of a license to license </w:t>
            </w:r>
            <w:r>
              <w:t xml:space="preserve">applicants who are military service members, military veterans, or military spouses, to ensure that </w:t>
            </w:r>
            <w:r>
              <w:t xml:space="preserve">such an applicant </w:t>
            </w:r>
            <w:r>
              <w:t xml:space="preserve">receives appropriate credit for the individual's experience, including clinical and professional experience, in a licensed profession. </w:t>
            </w: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.B. 4413</w:t>
            </w:r>
            <w:r>
              <w:t xml:space="preserve"> requires a state agency that issues a license that has a residency requirement for license eligibility to adopt rules to allow </w:t>
            </w:r>
            <w:r>
              <w:t>a military service member or military spouse applicant to</w:t>
            </w:r>
            <w:r>
              <w:t xml:space="preserve"> </w:t>
            </w:r>
            <w:r>
              <w:t>establish residency by providing to the agency a copy of the m</w:t>
            </w:r>
            <w:r>
              <w:t>ember's or spouse's permanent change of station order or military identification card.</w:t>
            </w:r>
            <w:r>
              <w:t xml:space="preserve"> </w:t>
            </w: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4413</w:t>
            </w:r>
            <w:r>
              <w:t xml:space="preserve"> </w:t>
            </w:r>
            <w:r>
              <w:t xml:space="preserve">requires </w:t>
            </w:r>
            <w:r>
              <w:t>a</w:t>
            </w:r>
            <w:r>
              <w:t xml:space="preserve"> state agency that issues a license under </w:t>
            </w:r>
            <w:r>
              <w:t xml:space="preserve">such rules to </w:t>
            </w:r>
            <w:r>
              <w:t xml:space="preserve">notify the </w:t>
            </w:r>
            <w:r>
              <w:t xml:space="preserve">TVC </w:t>
            </w:r>
            <w:r>
              <w:t xml:space="preserve">immediately on determining that the requirements of a license of </w:t>
            </w:r>
            <w:r>
              <w:t>Texas</w:t>
            </w:r>
            <w:r>
              <w:t xml:space="preserve"> are s</w:t>
            </w:r>
            <w:r>
              <w:t>ubstantially equivalent to those of another jurisdiction.</w:t>
            </w:r>
            <w:r>
              <w:t xml:space="preserve"> </w:t>
            </w:r>
          </w:p>
          <w:p w:rsidR="00FB4E92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620E6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4413</w:t>
            </w:r>
            <w:r>
              <w:t xml:space="preserve"> requires the TVC, not later than January 1, 2020, to establish and maintain a </w:t>
            </w:r>
            <w:r>
              <w:t xml:space="preserve">website to serve as a single location </w:t>
            </w:r>
            <w:r>
              <w:t xml:space="preserve">for military service members, military veterans, </w:t>
            </w:r>
            <w:r>
              <w:t xml:space="preserve">and </w:t>
            </w:r>
            <w:r>
              <w:t xml:space="preserve">military spouses </w:t>
            </w:r>
            <w:r>
              <w:t xml:space="preserve">to access information regarding the issuance of a license by a state agency to </w:t>
            </w:r>
            <w:r>
              <w:t>such an individual</w:t>
            </w:r>
            <w:r>
              <w:t xml:space="preserve"> who is licensed in another jurisdiction, including a list of each license of </w:t>
            </w:r>
            <w:r>
              <w:t>Texas</w:t>
            </w:r>
            <w:r>
              <w:t xml:space="preserve"> and license of another jurisdiction that is determined by a state agency to</w:t>
            </w:r>
            <w:r>
              <w:t xml:space="preserve"> be substantially equivalent.</w:t>
            </w:r>
          </w:p>
          <w:p w:rsidR="00DB26EE" w:rsidRDefault="00B76F75" w:rsidP="001A697F">
            <w:pPr>
              <w:pStyle w:val="Header"/>
              <w:jc w:val="both"/>
            </w:pPr>
          </w:p>
          <w:p w:rsidR="00DB26EE" w:rsidRDefault="00B76F75" w:rsidP="001A6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4413 repeals Section 2, Chapter 1048 (H.B. 1934), Acts of the 85th Legislature, Regular Session, 2017, </w:t>
            </w:r>
            <w:r>
              <w:t xml:space="preserve">which conditions the requirement that the SBEC implement the </w:t>
            </w:r>
            <w:r>
              <w:t xml:space="preserve">temporary certification of an educator from outside the </w:t>
            </w:r>
            <w:r>
              <w:t>state who is the spouse of an active duty military service member</w:t>
            </w:r>
            <w:r>
              <w:t xml:space="preserve"> on an applicable legislative appropriation being made</w:t>
            </w:r>
            <w:r>
              <w:t xml:space="preserve">. </w:t>
            </w:r>
          </w:p>
          <w:p w:rsidR="008423E4" w:rsidRPr="00835628" w:rsidRDefault="00B76F75" w:rsidP="004D3D3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F952AE" w:rsidTr="00345119">
        <w:tc>
          <w:tcPr>
            <w:tcW w:w="9576" w:type="dxa"/>
          </w:tcPr>
          <w:p w:rsidR="008423E4" w:rsidRPr="00A8133F" w:rsidRDefault="00B76F75" w:rsidP="004D3D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6F75" w:rsidP="004D3D3C"/>
          <w:p w:rsidR="008423E4" w:rsidRPr="003624F2" w:rsidRDefault="00B76F75" w:rsidP="004D3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76F75" w:rsidP="004D3D3C">
            <w:pPr>
              <w:rPr>
                <w:b/>
              </w:rPr>
            </w:pPr>
          </w:p>
        </w:tc>
      </w:tr>
    </w:tbl>
    <w:p w:rsidR="004108C3" w:rsidRPr="004D3D3C" w:rsidRDefault="00B76F75" w:rsidP="008423E4">
      <w:pPr>
        <w:rPr>
          <w:sz w:val="12"/>
        </w:rPr>
      </w:pPr>
    </w:p>
    <w:sectPr w:rsidR="004108C3" w:rsidRPr="004D3D3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6F75">
      <w:r>
        <w:separator/>
      </w:r>
    </w:p>
  </w:endnote>
  <w:endnote w:type="continuationSeparator" w:id="0">
    <w:p w:rsidR="00000000" w:rsidRDefault="00B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54" w:rsidRDefault="00B7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52AE" w:rsidTr="009C1E9A">
      <w:trPr>
        <w:cantSplit/>
      </w:trPr>
      <w:tc>
        <w:tcPr>
          <w:tcW w:w="0" w:type="pct"/>
        </w:tcPr>
        <w:p w:rsidR="00137D90" w:rsidRDefault="00B7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4D3D3C" w:rsidRDefault="00B76F75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4D3D3C" w:rsidRDefault="00B76F75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37D90" w:rsidRDefault="00B7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52AE" w:rsidTr="009C1E9A">
      <w:trPr>
        <w:cantSplit/>
      </w:trPr>
      <w:tc>
        <w:tcPr>
          <w:tcW w:w="0" w:type="pct"/>
        </w:tcPr>
        <w:p w:rsidR="00EC379B" w:rsidRDefault="00B7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6F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24132</w:t>
          </w:r>
        </w:p>
      </w:tc>
      <w:tc>
        <w:tcPr>
          <w:tcW w:w="2453" w:type="pct"/>
        </w:tcPr>
        <w:p w:rsidR="00EC379B" w:rsidRDefault="00B7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19.95.425</w:t>
          </w:r>
          <w:r>
            <w:fldChar w:fldCharType="end"/>
          </w:r>
        </w:p>
      </w:tc>
    </w:tr>
    <w:tr w:rsidR="00F952AE" w:rsidTr="009C1E9A">
      <w:trPr>
        <w:cantSplit/>
      </w:trPr>
      <w:tc>
        <w:tcPr>
          <w:tcW w:w="0" w:type="pct"/>
        </w:tcPr>
        <w:p w:rsidR="00EC379B" w:rsidRDefault="00B76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6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6F75" w:rsidP="006D504F">
          <w:pPr>
            <w:pStyle w:val="Footer"/>
            <w:rPr>
              <w:rStyle w:val="PageNumber"/>
            </w:rPr>
          </w:pPr>
        </w:p>
        <w:p w:rsidR="00EC379B" w:rsidRDefault="00B7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52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6F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6F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6F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54" w:rsidRDefault="00B7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6F75">
      <w:r>
        <w:separator/>
      </w:r>
    </w:p>
  </w:footnote>
  <w:footnote w:type="continuationSeparator" w:id="0">
    <w:p w:rsidR="00000000" w:rsidRDefault="00B7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54" w:rsidRDefault="00B7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54" w:rsidRDefault="00B76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54" w:rsidRDefault="00B7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5BA"/>
    <w:multiLevelType w:val="hybridMultilevel"/>
    <w:tmpl w:val="DB9A2CA4"/>
    <w:lvl w:ilvl="0" w:tplc="4454A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6E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C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7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4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A8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43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1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6D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D32"/>
    <w:multiLevelType w:val="hybridMultilevel"/>
    <w:tmpl w:val="23AA7FD6"/>
    <w:lvl w:ilvl="0" w:tplc="D3224B92">
      <w:start w:val="1"/>
      <w:numFmt w:val="decimal"/>
      <w:lvlText w:val="(%1)"/>
      <w:lvlJc w:val="left"/>
      <w:pPr>
        <w:ind w:left="890" w:hanging="530"/>
      </w:pPr>
      <w:rPr>
        <w:rFonts w:hint="default"/>
      </w:rPr>
    </w:lvl>
    <w:lvl w:ilvl="1" w:tplc="8756797A">
      <w:start w:val="1"/>
      <w:numFmt w:val="upperLetter"/>
      <w:lvlText w:val="(%2)"/>
      <w:lvlJc w:val="left"/>
      <w:pPr>
        <w:ind w:left="1630" w:hanging="550"/>
      </w:pPr>
      <w:rPr>
        <w:rFonts w:hint="default"/>
      </w:rPr>
    </w:lvl>
    <w:lvl w:ilvl="2" w:tplc="BE9E2310" w:tentative="1">
      <w:start w:val="1"/>
      <w:numFmt w:val="lowerRoman"/>
      <w:lvlText w:val="%3."/>
      <w:lvlJc w:val="right"/>
      <w:pPr>
        <w:ind w:left="2160" w:hanging="180"/>
      </w:pPr>
    </w:lvl>
    <w:lvl w:ilvl="3" w:tplc="652CBDE2" w:tentative="1">
      <w:start w:val="1"/>
      <w:numFmt w:val="decimal"/>
      <w:lvlText w:val="%4."/>
      <w:lvlJc w:val="left"/>
      <w:pPr>
        <w:ind w:left="2880" w:hanging="360"/>
      </w:pPr>
    </w:lvl>
    <w:lvl w:ilvl="4" w:tplc="04188D0E" w:tentative="1">
      <w:start w:val="1"/>
      <w:numFmt w:val="lowerLetter"/>
      <w:lvlText w:val="%5."/>
      <w:lvlJc w:val="left"/>
      <w:pPr>
        <w:ind w:left="3600" w:hanging="360"/>
      </w:pPr>
    </w:lvl>
    <w:lvl w:ilvl="5" w:tplc="F28A1FC6" w:tentative="1">
      <w:start w:val="1"/>
      <w:numFmt w:val="lowerRoman"/>
      <w:lvlText w:val="%6."/>
      <w:lvlJc w:val="right"/>
      <w:pPr>
        <w:ind w:left="4320" w:hanging="180"/>
      </w:pPr>
    </w:lvl>
    <w:lvl w:ilvl="6" w:tplc="600ACB44" w:tentative="1">
      <w:start w:val="1"/>
      <w:numFmt w:val="decimal"/>
      <w:lvlText w:val="%7."/>
      <w:lvlJc w:val="left"/>
      <w:pPr>
        <w:ind w:left="5040" w:hanging="360"/>
      </w:pPr>
    </w:lvl>
    <w:lvl w:ilvl="7" w:tplc="96441996" w:tentative="1">
      <w:start w:val="1"/>
      <w:numFmt w:val="lowerLetter"/>
      <w:lvlText w:val="%8."/>
      <w:lvlJc w:val="left"/>
      <w:pPr>
        <w:ind w:left="5760" w:hanging="360"/>
      </w:pPr>
    </w:lvl>
    <w:lvl w:ilvl="8" w:tplc="103A0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437BF"/>
    <w:multiLevelType w:val="hybridMultilevel"/>
    <w:tmpl w:val="CAAA8370"/>
    <w:lvl w:ilvl="0" w:tplc="C0B69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3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A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1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E0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CE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82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46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E"/>
    <w:rsid w:val="00B76F75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B1F57D-64ED-48D9-BF02-4E0F8CA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6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0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5200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HB04413 (Committee Report (Unamended))</vt:lpstr>
    </vt:vector>
  </TitlesOfParts>
  <Company>State of Texas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24132</dc:subject>
  <dc:creator>State of Texas</dc:creator>
  <dc:description>HB 4413 by Buckley-(H)Defense &amp; Veterans' Affairs</dc:description>
  <cp:lastModifiedBy>Scotty Wimberley</cp:lastModifiedBy>
  <cp:revision>2</cp:revision>
  <cp:lastPrinted>2003-11-26T17:21:00Z</cp:lastPrinted>
  <dcterms:created xsi:type="dcterms:W3CDTF">2019-04-29T15:03:00Z</dcterms:created>
  <dcterms:modified xsi:type="dcterms:W3CDTF">2019-04-29T15:03:00Z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19.95.425</vt:lpwstr>
  </property>
</Properties>
</file>