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1092B" w:rsidTr="00345119">
        <w:tc>
          <w:tcPr>
            <w:tcW w:w="9576" w:type="dxa"/>
            <w:noWrap/>
          </w:tcPr>
          <w:p w:rsidR="008423E4" w:rsidRPr="0022177D" w:rsidRDefault="000001A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001A8" w:rsidP="008423E4">
      <w:pPr>
        <w:jc w:val="center"/>
      </w:pPr>
    </w:p>
    <w:p w:rsidR="008423E4" w:rsidRPr="00B31F0E" w:rsidRDefault="000001A8" w:rsidP="008423E4"/>
    <w:p w:rsidR="008423E4" w:rsidRPr="00742794" w:rsidRDefault="000001A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1092B" w:rsidTr="00345119">
        <w:tc>
          <w:tcPr>
            <w:tcW w:w="9576" w:type="dxa"/>
          </w:tcPr>
          <w:p w:rsidR="008423E4" w:rsidRPr="00861995" w:rsidRDefault="000001A8" w:rsidP="00345119">
            <w:pPr>
              <w:jc w:val="right"/>
            </w:pPr>
            <w:r>
              <w:t>C.S.H.B. 4477</w:t>
            </w:r>
          </w:p>
        </w:tc>
      </w:tr>
      <w:tr w:rsidR="00F1092B" w:rsidTr="00345119">
        <w:tc>
          <w:tcPr>
            <w:tcW w:w="9576" w:type="dxa"/>
          </w:tcPr>
          <w:p w:rsidR="008423E4" w:rsidRPr="00861995" w:rsidRDefault="000001A8" w:rsidP="00315697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F1092B" w:rsidTr="00345119">
        <w:tc>
          <w:tcPr>
            <w:tcW w:w="9576" w:type="dxa"/>
          </w:tcPr>
          <w:p w:rsidR="008423E4" w:rsidRPr="00861995" w:rsidRDefault="000001A8" w:rsidP="00345119">
            <w:pPr>
              <w:jc w:val="right"/>
            </w:pPr>
            <w:r>
              <w:t>Natural Resources</w:t>
            </w:r>
          </w:p>
        </w:tc>
      </w:tr>
      <w:tr w:rsidR="00F1092B" w:rsidTr="00345119">
        <w:tc>
          <w:tcPr>
            <w:tcW w:w="9576" w:type="dxa"/>
          </w:tcPr>
          <w:p w:rsidR="008423E4" w:rsidRDefault="000001A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001A8" w:rsidP="008423E4">
      <w:pPr>
        <w:tabs>
          <w:tab w:val="right" w:pos="9360"/>
        </w:tabs>
      </w:pPr>
    </w:p>
    <w:p w:rsidR="008423E4" w:rsidRDefault="000001A8" w:rsidP="008423E4"/>
    <w:p w:rsidR="008423E4" w:rsidRDefault="000001A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1092B" w:rsidTr="00345119">
        <w:tc>
          <w:tcPr>
            <w:tcW w:w="9576" w:type="dxa"/>
          </w:tcPr>
          <w:p w:rsidR="008423E4" w:rsidRPr="00A8133F" w:rsidRDefault="000001A8" w:rsidP="005C024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001A8" w:rsidP="005C0242"/>
          <w:p w:rsidR="008423E4" w:rsidRDefault="000001A8" w:rsidP="005C02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</w:t>
            </w:r>
            <w:r w:rsidRPr="009F01E4">
              <w:t xml:space="preserve"> noted that </w:t>
            </w:r>
            <w:r>
              <w:t>some</w:t>
            </w:r>
            <w:r>
              <w:t xml:space="preserve"> owners and operators of </w:t>
            </w:r>
            <w:r w:rsidRPr="009F01E4">
              <w:t xml:space="preserve">small to midsize water and sewer utilities </w:t>
            </w:r>
            <w:r>
              <w:t xml:space="preserve">allow their facilities to fall </w:t>
            </w:r>
            <w:r>
              <w:t>into disrepair</w:t>
            </w:r>
            <w:r w:rsidRPr="009F01E4">
              <w:t xml:space="preserve">, leaving some small rural communities without clean water or sewer services for days or weeks at a time. </w:t>
            </w:r>
            <w:r>
              <w:t>C.S.</w:t>
            </w:r>
            <w:r>
              <w:t>H.B. 4477 seeks</w:t>
            </w:r>
            <w:r w:rsidRPr="009F01E4">
              <w:t xml:space="preserve"> to </w:t>
            </w:r>
            <w:r>
              <w:t xml:space="preserve">protect Texans and ensure the </w:t>
            </w:r>
            <w:r>
              <w:t xml:space="preserve">proper </w:t>
            </w:r>
            <w:r>
              <w:t xml:space="preserve">provision of basic public services by requiring </w:t>
            </w:r>
            <w:r>
              <w:t>a Class B or Class C utility</w:t>
            </w:r>
            <w:r>
              <w:t xml:space="preserve"> to deliver a report to the Public Utility Commission of Texas (PUC) of the utility's financial, managerial, and technical </w:t>
            </w:r>
            <w:r w:rsidRPr="000F6180">
              <w:t>capacity to provide continuous and adequate service to its customers</w:t>
            </w:r>
            <w:r>
              <w:t xml:space="preserve"> after violating a final PUC order</w:t>
            </w:r>
            <w:r>
              <w:t xml:space="preserve"> in </w:t>
            </w:r>
            <w:r>
              <w:t>a certain manner</w:t>
            </w:r>
            <w:r>
              <w:t>.</w:t>
            </w:r>
          </w:p>
          <w:p w:rsidR="008423E4" w:rsidRPr="00E26B13" w:rsidRDefault="000001A8" w:rsidP="005C0242">
            <w:pPr>
              <w:rPr>
                <w:b/>
              </w:rPr>
            </w:pPr>
          </w:p>
        </w:tc>
      </w:tr>
      <w:tr w:rsidR="00F1092B" w:rsidTr="00345119">
        <w:tc>
          <w:tcPr>
            <w:tcW w:w="9576" w:type="dxa"/>
          </w:tcPr>
          <w:p w:rsidR="0017725B" w:rsidRDefault="000001A8" w:rsidP="005C02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</w:t>
            </w:r>
            <w:r>
              <w:rPr>
                <w:b/>
                <w:u w:val="single"/>
              </w:rPr>
              <w:t>L JUSTICE IMPACT</w:t>
            </w:r>
          </w:p>
          <w:p w:rsidR="0017725B" w:rsidRDefault="000001A8" w:rsidP="005C0242">
            <w:pPr>
              <w:rPr>
                <w:b/>
                <w:u w:val="single"/>
              </w:rPr>
            </w:pPr>
          </w:p>
          <w:p w:rsidR="003A556F" w:rsidRPr="003A556F" w:rsidRDefault="000001A8" w:rsidP="005C024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:rsidR="0017725B" w:rsidRPr="0017725B" w:rsidRDefault="000001A8" w:rsidP="005C0242">
            <w:pPr>
              <w:rPr>
                <w:b/>
                <w:u w:val="single"/>
              </w:rPr>
            </w:pPr>
          </w:p>
        </w:tc>
      </w:tr>
      <w:tr w:rsidR="00F1092B" w:rsidTr="00345119">
        <w:tc>
          <w:tcPr>
            <w:tcW w:w="9576" w:type="dxa"/>
          </w:tcPr>
          <w:p w:rsidR="008423E4" w:rsidRPr="00A8133F" w:rsidRDefault="000001A8" w:rsidP="005C024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001A8" w:rsidP="005C0242"/>
          <w:p w:rsidR="003A556F" w:rsidRDefault="000001A8" w:rsidP="005C02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001A8" w:rsidP="005C0242">
            <w:pPr>
              <w:rPr>
                <w:b/>
              </w:rPr>
            </w:pPr>
          </w:p>
        </w:tc>
      </w:tr>
      <w:tr w:rsidR="00F1092B" w:rsidTr="00345119">
        <w:tc>
          <w:tcPr>
            <w:tcW w:w="9576" w:type="dxa"/>
          </w:tcPr>
          <w:p w:rsidR="008423E4" w:rsidRDefault="000001A8" w:rsidP="005C024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5C0242" w:rsidRPr="00AF21F9" w:rsidRDefault="000001A8" w:rsidP="005C0242">
            <w:pPr>
              <w:rPr>
                <w:b/>
              </w:rPr>
            </w:pPr>
          </w:p>
          <w:p w:rsidR="00B57C24" w:rsidRDefault="000001A8" w:rsidP="005C02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4477</w:t>
            </w:r>
            <w:r>
              <w:t xml:space="preserve"> amends the Water Code to require</w:t>
            </w:r>
            <w:r w:rsidRPr="00AF21F9">
              <w:t xml:space="preserve"> a Class B or Class C utility to deliver to the</w:t>
            </w:r>
            <w:r>
              <w:t xml:space="preserve"> </w:t>
            </w:r>
            <w:r w:rsidRPr="0047259B">
              <w:t>Public Utility Commission of Texas</w:t>
            </w:r>
            <w:r>
              <w:t xml:space="preserve"> (PUC)</w:t>
            </w:r>
            <w:r>
              <w:t xml:space="preserve"> </w:t>
            </w:r>
            <w:r w:rsidRPr="00AF21F9">
              <w:t>a report of the utility's financial</w:t>
            </w:r>
            <w:r>
              <w:t>,</w:t>
            </w:r>
            <w:r w:rsidRPr="00AF21F9">
              <w:t xml:space="preserve"> managerial, and technical capacity to provide continuous and adequate service to</w:t>
            </w:r>
            <w:r>
              <w:t xml:space="preserve"> </w:t>
            </w:r>
            <w:r w:rsidRPr="00AF21F9">
              <w:t>its customers no</w:t>
            </w:r>
            <w:r w:rsidRPr="00AF21F9">
              <w:t>t later than the third anniversary of the date that the utility violates a final order of</w:t>
            </w:r>
            <w:r>
              <w:t xml:space="preserve"> </w:t>
            </w:r>
            <w:r w:rsidRPr="0047259B">
              <w:t>the PUC</w:t>
            </w:r>
            <w:r>
              <w:t xml:space="preserve"> by failing to: </w:t>
            </w:r>
          </w:p>
          <w:p w:rsidR="00B57C24" w:rsidRDefault="000001A8" w:rsidP="005C024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AF21F9">
              <w:t>provide system capacity that is greater than the required raw water or groundwater production rate or the anticipated daily demand of the syst</w:t>
            </w:r>
            <w:r w:rsidRPr="00AF21F9">
              <w:t>em</w:t>
            </w:r>
            <w:r>
              <w:t xml:space="preserve">; </w:t>
            </w:r>
          </w:p>
          <w:p w:rsidR="00B57C24" w:rsidRDefault="000001A8" w:rsidP="005C024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AF21F9">
              <w:t>provide a</w:t>
            </w:r>
            <w:r>
              <w:t xml:space="preserve"> </w:t>
            </w:r>
            <w:r w:rsidRPr="00AF21F9">
              <w:t xml:space="preserve">minimum pressure </w:t>
            </w:r>
            <w:r>
              <w:t xml:space="preserve">of 35 pounds </w:t>
            </w:r>
            <w:r>
              <w:t xml:space="preserve">per </w:t>
            </w:r>
            <w:r w:rsidRPr="00AF21F9">
              <w:t>square inch throughout the distribution system under normal operating conditions; or</w:t>
            </w:r>
            <w:r>
              <w:t xml:space="preserve"> </w:t>
            </w:r>
          </w:p>
          <w:p w:rsidR="00B57C24" w:rsidRDefault="000001A8" w:rsidP="005C024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AF21F9">
              <w:t>maintain accurate or properly calibrated testing equipment or other means of monitoring the effectiveness of a chemical t</w:t>
            </w:r>
            <w:r w:rsidRPr="00AF21F9">
              <w:t>reatment or pathogen inactivation or removal process.</w:t>
            </w:r>
            <w:r>
              <w:t xml:space="preserve"> </w:t>
            </w:r>
          </w:p>
          <w:p w:rsidR="005744EC" w:rsidRDefault="000001A8" w:rsidP="005C02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91681">
              <w:t>A</w:t>
            </w:r>
            <w:r w:rsidRPr="00B91681">
              <w:t xml:space="preserve"> utility</w:t>
            </w:r>
            <w:r>
              <w:t xml:space="preserve"> that has an existing obligation to deliver such a report </w:t>
            </w:r>
            <w:r>
              <w:t xml:space="preserve">is not required to deliver another report as a result of the occurrence of </w:t>
            </w:r>
            <w:r w:rsidRPr="00CC55A9">
              <w:t xml:space="preserve">an additional violation </w:t>
            </w:r>
            <w:r>
              <w:t xml:space="preserve">if the </w:t>
            </w:r>
            <w:r>
              <w:t xml:space="preserve">violation </w:t>
            </w:r>
            <w:r>
              <w:t xml:space="preserve">occurs before the </w:t>
            </w:r>
            <w:r>
              <w:t xml:space="preserve">date that the utility delivers the required report. The bill requires </w:t>
            </w:r>
            <w:r>
              <w:t>a Class B or Class C</w:t>
            </w:r>
            <w:r w:rsidRPr="0047259B">
              <w:t xml:space="preserve"> utility</w:t>
            </w:r>
            <w:r>
              <w:t xml:space="preserve"> that</w:t>
            </w:r>
            <w:r>
              <w:t xml:space="preserve"> committed an applicable violation</w:t>
            </w:r>
            <w:r>
              <w:t xml:space="preserve"> not more than three years before the bill's effective date to submit the </w:t>
            </w:r>
            <w:r w:rsidRPr="00B91681">
              <w:t>requisite report</w:t>
            </w:r>
            <w:r>
              <w:t xml:space="preserve"> not later than the fifth anniversary of the </w:t>
            </w:r>
            <w:r>
              <w:t>violation</w:t>
            </w:r>
            <w:r>
              <w:t xml:space="preserve">.   </w:t>
            </w:r>
          </w:p>
          <w:p w:rsidR="008423E4" w:rsidRPr="00835628" w:rsidRDefault="000001A8" w:rsidP="005C0242">
            <w:pPr>
              <w:rPr>
                <w:b/>
              </w:rPr>
            </w:pPr>
          </w:p>
        </w:tc>
      </w:tr>
      <w:tr w:rsidR="00F1092B" w:rsidTr="00345119">
        <w:tc>
          <w:tcPr>
            <w:tcW w:w="9576" w:type="dxa"/>
          </w:tcPr>
          <w:p w:rsidR="008423E4" w:rsidRPr="00A8133F" w:rsidRDefault="000001A8" w:rsidP="005C024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001A8" w:rsidP="005C0242"/>
          <w:p w:rsidR="008423E4" w:rsidRPr="003624F2" w:rsidRDefault="000001A8" w:rsidP="005C02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0001A8" w:rsidP="005C0242">
            <w:pPr>
              <w:rPr>
                <w:b/>
              </w:rPr>
            </w:pPr>
          </w:p>
        </w:tc>
      </w:tr>
      <w:tr w:rsidR="00F1092B" w:rsidTr="00345119">
        <w:tc>
          <w:tcPr>
            <w:tcW w:w="9576" w:type="dxa"/>
          </w:tcPr>
          <w:p w:rsidR="005B2688" w:rsidRDefault="000001A8" w:rsidP="005C0242">
            <w:pPr>
              <w:jc w:val="both"/>
              <w:rPr>
                <w:b/>
                <w:u w:val="single"/>
              </w:rPr>
            </w:pPr>
          </w:p>
          <w:p w:rsidR="000D121A" w:rsidRDefault="000001A8" w:rsidP="005C024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B2688" w:rsidRPr="000D121A" w:rsidRDefault="000001A8" w:rsidP="005C0242">
            <w:pPr>
              <w:jc w:val="both"/>
              <w:rPr>
                <w:b/>
                <w:u w:val="single"/>
              </w:rPr>
            </w:pPr>
          </w:p>
          <w:p w:rsidR="000D121A" w:rsidRDefault="000001A8" w:rsidP="005C0242">
            <w:pPr>
              <w:jc w:val="both"/>
            </w:pPr>
            <w:r>
              <w:t xml:space="preserve">While C.S.H.B. 4477 may differ from the original in minor or nonsubstantive ways, the following summarizes the </w:t>
            </w:r>
            <w:r>
              <w:t>substantial differences between the introduced and committee substitute versions of the bill.</w:t>
            </w:r>
          </w:p>
          <w:p w:rsidR="000D121A" w:rsidRDefault="000001A8" w:rsidP="005C0242">
            <w:pPr>
              <w:jc w:val="both"/>
            </w:pPr>
          </w:p>
          <w:p w:rsidR="000D121A" w:rsidRDefault="000001A8" w:rsidP="005C0242">
            <w:pPr>
              <w:jc w:val="both"/>
            </w:pPr>
            <w:r>
              <w:t xml:space="preserve">The substitute </w:t>
            </w:r>
            <w:r>
              <w:t xml:space="preserve">includes provisions relating to reporting on the provision of water and sewer services by </w:t>
            </w:r>
            <w:r>
              <w:t>Class B and Class C</w:t>
            </w:r>
            <w:r>
              <w:t xml:space="preserve"> utilities </w:t>
            </w:r>
            <w:r>
              <w:t>and</w:t>
            </w:r>
            <w:r>
              <w:t xml:space="preserve"> does not include any p</w:t>
            </w:r>
            <w:r>
              <w:t>rovisions of the original, which requires e</w:t>
            </w:r>
            <w:r>
              <w:t>very water and sewer</w:t>
            </w:r>
            <w:r>
              <w:t xml:space="preserve"> utility to provide a $5 million bond to be </w:t>
            </w:r>
            <w:r>
              <w:t>used</w:t>
            </w:r>
            <w:r>
              <w:t xml:space="preserve"> by </w:t>
            </w:r>
            <w:r w:rsidRPr="0047259B">
              <w:t>the PUC</w:t>
            </w:r>
            <w:r>
              <w:t xml:space="preserve"> </w:t>
            </w:r>
            <w:r w:rsidRPr="000F6180">
              <w:t xml:space="preserve">to </w:t>
            </w:r>
            <w:r>
              <w:t xml:space="preserve">make necessary improvements if the utility fails to </w:t>
            </w:r>
            <w:r w:rsidRPr="000F6180">
              <w:t>furnish service, instrumentalities, and facilities that are safe, adequate, ef</w:t>
            </w:r>
            <w:r w:rsidRPr="000F6180">
              <w:t>ficient, and reasonable</w:t>
            </w:r>
            <w:r>
              <w:t>.</w:t>
            </w:r>
          </w:p>
          <w:p w:rsidR="000D121A" w:rsidRPr="000D121A" w:rsidRDefault="000001A8" w:rsidP="005C0242">
            <w:pPr>
              <w:jc w:val="both"/>
            </w:pPr>
          </w:p>
        </w:tc>
      </w:tr>
      <w:tr w:rsidR="00F1092B" w:rsidTr="00345119">
        <w:tc>
          <w:tcPr>
            <w:tcW w:w="9576" w:type="dxa"/>
          </w:tcPr>
          <w:p w:rsidR="00315697" w:rsidRPr="009C1E9A" w:rsidRDefault="000001A8" w:rsidP="005C0242">
            <w:pPr>
              <w:rPr>
                <w:b/>
                <w:u w:val="single"/>
              </w:rPr>
            </w:pPr>
          </w:p>
        </w:tc>
      </w:tr>
      <w:tr w:rsidR="00F1092B" w:rsidTr="00345119">
        <w:tc>
          <w:tcPr>
            <w:tcW w:w="9576" w:type="dxa"/>
          </w:tcPr>
          <w:p w:rsidR="00315697" w:rsidRPr="00315697" w:rsidRDefault="000001A8" w:rsidP="005C0242">
            <w:pPr>
              <w:jc w:val="both"/>
            </w:pPr>
          </w:p>
        </w:tc>
      </w:tr>
    </w:tbl>
    <w:p w:rsidR="008423E4" w:rsidRPr="00BE0E75" w:rsidRDefault="000001A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001A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01A8">
      <w:r>
        <w:separator/>
      </w:r>
    </w:p>
  </w:endnote>
  <w:endnote w:type="continuationSeparator" w:id="0">
    <w:p w:rsidR="00000000" w:rsidRDefault="0000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00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1092B" w:rsidTr="009C1E9A">
      <w:trPr>
        <w:cantSplit/>
      </w:trPr>
      <w:tc>
        <w:tcPr>
          <w:tcW w:w="0" w:type="pct"/>
        </w:tcPr>
        <w:p w:rsidR="00137D90" w:rsidRDefault="000001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001A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001A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001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001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092B" w:rsidTr="009C1E9A">
      <w:trPr>
        <w:cantSplit/>
      </w:trPr>
      <w:tc>
        <w:tcPr>
          <w:tcW w:w="0" w:type="pct"/>
        </w:tcPr>
        <w:p w:rsidR="00EC379B" w:rsidRDefault="000001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001A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29905</w:t>
          </w:r>
        </w:p>
      </w:tc>
      <w:tc>
        <w:tcPr>
          <w:tcW w:w="2453" w:type="pct"/>
        </w:tcPr>
        <w:p w:rsidR="00EC379B" w:rsidRDefault="000001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19.116.1412</w:t>
          </w:r>
          <w:r>
            <w:fldChar w:fldCharType="end"/>
          </w:r>
        </w:p>
      </w:tc>
    </w:tr>
    <w:tr w:rsidR="00F1092B" w:rsidTr="009C1E9A">
      <w:trPr>
        <w:cantSplit/>
      </w:trPr>
      <w:tc>
        <w:tcPr>
          <w:tcW w:w="0" w:type="pct"/>
        </w:tcPr>
        <w:p w:rsidR="00EC379B" w:rsidRDefault="000001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001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29664</w:t>
          </w:r>
        </w:p>
      </w:tc>
      <w:tc>
        <w:tcPr>
          <w:tcW w:w="2453" w:type="pct"/>
        </w:tcPr>
        <w:p w:rsidR="00EC379B" w:rsidRDefault="000001A8" w:rsidP="006D504F">
          <w:pPr>
            <w:pStyle w:val="Footer"/>
            <w:rPr>
              <w:rStyle w:val="PageNumber"/>
            </w:rPr>
          </w:pPr>
        </w:p>
        <w:p w:rsidR="00EC379B" w:rsidRDefault="000001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092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001A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001A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001A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00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01A8">
      <w:r>
        <w:separator/>
      </w:r>
    </w:p>
  </w:footnote>
  <w:footnote w:type="continuationSeparator" w:id="0">
    <w:p w:rsidR="00000000" w:rsidRDefault="0000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00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00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00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60C0A"/>
    <w:multiLevelType w:val="hybridMultilevel"/>
    <w:tmpl w:val="292AAAB4"/>
    <w:lvl w:ilvl="0" w:tplc="495CA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4B0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1ED9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AE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6D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601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8D0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8C4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143F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2B"/>
    <w:rsid w:val="000001A8"/>
    <w:rsid w:val="00F1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54E6D7-D117-4800-9C46-97699A77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A55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5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55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5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5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2754</Characters>
  <Application>Microsoft Office Word</Application>
  <DocSecurity>4</DocSecurity>
  <Lines>70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HB04477 (Committee Report (Substituted))</vt:lpstr>
    </vt:vector>
  </TitlesOfParts>
  <Company>State of Texas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29905</dc:subject>
  <dc:creator>State of Texas</dc:creator>
  <dc:description>HB 4477 by Springer-(H)Natural Resources (Substitute Document Number: 86R 29664)</dc:description>
  <cp:lastModifiedBy>Laura Ramsay</cp:lastModifiedBy>
  <cp:revision>2</cp:revision>
  <cp:lastPrinted>2003-11-26T17:21:00Z</cp:lastPrinted>
  <dcterms:created xsi:type="dcterms:W3CDTF">2019-04-29T13:58:00Z</dcterms:created>
  <dcterms:modified xsi:type="dcterms:W3CDTF">2019-04-29T13:58:00Z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19.116.1412</vt:lpwstr>
  </property>
</Properties>
</file>