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1957" w:rsidTr="00345119">
        <w:tc>
          <w:tcPr>
            <w:tcW w:w="9576" w:type="dxa"/>
            <w:noWrap/>
          </w:tcPr>
          <w:p w:rsidR="008423E4" w:rsidRPr="0022177D" w:rsidRDefault="001646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646C1" w:rsidP="008423E4">
      <w:pPr>
        <w:jc w:val="center"/>
      </w:pPr>
    </w:p>
    <w:p w:rsidR="008423E4" w:rsidRPr="00147564" w:rsidRDefault="001646C1" w:rsidP="008423E4">
      <w:pPr>
        <w:rPr>
          <w:sz w:val="18"/>
        </w:rPr>
      </w:pPr>
    </w:p>
    <w:p w:rsidR="008423E4" w:rsidRPr="00147564" w:rsidRDefault="001646C1" w:rsidP="008423E4">
      <w:pPr>
        <w:tabs>
          <w:tab w:val="right" w:pos="9360"/>
        </w:tabs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1957" w:rsidTr="00345119">
        <w:tc>
          <w:tcPr>
            <w:tcW w:w="9576" w:type="dxa"/>
          </w:tcPr>
          <w:p w:rsidR="008423E4" w:rsidRPr="00861995" w:rsidRDefault="001646C1" w:rsidP="00345119">
            <w:pPr>
              <w:jc w:val="right"/>
            </w:pPr>
            <w:r>
              <w:t>H.B. 4493</w:t>
            </w:r>
          </w:p>
        </w:tc>
      </w:tr>
      <w:tr w:rsidR="00981957" w:rsidTr="00345119">
        <w:tc>
          <w:tcPr>
            <w:tcW w:w="9576" w:type="dxa"/>
          </w:tcPr>
          <w:p w:rsidR="008423E4" w:rsidRPr="00861995" w:rsidRDefault="001646C1" w:rsidP="00BC0B72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981957" w:rsidTr="00345119">
        <w:tc>
          <w:tcPr>
            <w:tcW w:w="9576" w:type="dxa"/>
          </w:tcPr>
          <w:p w:rsidR="008423E4" w:rsidRPr="00861995" w:rsidRDefault="001646C1" w:rsidP="00345119">
            <w:pPr>
              <w:jc w:val="right"/>
            </w:pPr>
            <w:r>
              <w:t>Environmental Regulation</w:t>
            </w:r>
          </w:p>
        </w:tc>
      </w:tr>
      <w:tr w:rsidR="00981957" w:rsidTr="00345119">
        <w:tc>
          <w:tcPr>
            <w:tcW w:w="9576" w:type="dxa"/>
          </w:tcPr>
          <w:p w:rsidR="008423E4" w:rsidRDefault="001646C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Pr="00147564" w:rsidRDefault="001646C1" w:rsidP="008423E4">
      <w:pPr>
        <w:tabs>
          <w:tab w:val="right" w:pos="9360"/>
        </w:tabs>
        <w:rPr>
          <w:sz w:val="6"/>
        </w:rPr>
      </w:pPr>
    </w:p>
    <w:p w:rsidR="008423E4" w:rsidRPr="00147564" w:rsidRDefault="001646C1" w:rsidP="008423E4">
      <w:pPr>
        <w:rPr>
          <w:sz w:val="2"/>
        </w:rPr>
      </w:pPr>
    </w:p>
    <w:p w:rsidR="008423E4" w:rsidRDefault="001646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81957" w:rsidTr="00345119">
        <w:tc>
          <w:tcPr>
            <w:tcW w:w="9576" w:type="dxa"/>
          </w:tcPr>
          <w:p w:rsidR="008423E4" w:rsidRPr="00A8133F" w:rsidRDefault="001646C1" w:rsidP="00085D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646C1" w:rsidP="00085DA0"/>
          <w:p w:rsidR="008423E4" w:rsidRDefault="001646C1" w:rsidP="00085D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s</w:t>
            </w:r>
            <w:r>
              <w:t xml:space="preserve">upplemental </w:t>
            </w:r>
            <w:r>
              <w:t>e</w:t>
            </w:r>
            <w:r>
              <w:t xml:space="preserve">nvironmental </w:t>
            </w:r>
            <w:r>
              <w:t>p</w:t>
            </w:r>
            <w:r>
              <w:t>roject</w:t>
            </w:r>
            <w:r>
              <w:t>s</w:t>
            </w:r>
            <w:r>
              <w:t xml:space="preserve"> allow local government</w:t>
            </w:r>
            <w:r>
              <w:t>s</w:t>
            </w:r>
            <w:r>
              <w:t xml:space="preserve"> to administer environmentally beneficial projects</w:t>
            </w:r>
            <w:r>
              <w:t>,</w:t>
            </w:r>
            <w:r>
              <w:t xml:space="preserve"> but concerns have been raised regarding the</w:t>
            </w:r>
            <w:r>
              <w:t xml:space="preserve"> continued</w:t>
            </w:r>
            <w:r>
              <w:t xml:space="preserve"> use of a supplemental environmental project </w:t>
            </w:r>
            <w:r>
              <w:t>for vehicle</w:t>
            </w:r>
            <w:r>
              <w:t xml:space="preserve"> </w:t>
            </w:r>
            <w:r>
              <w:t>replace</w:t>
            </w:r>
            <w:r>
              <w:t>ment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4493</w:t>
            </w:r>
            <w:r>
              <w:t xml:space="preserve"> seeks to address these concerns by providing for certain supplemental e</w:t>
            </w:r>
            <w:r>
              <w:t xml:space="preserve">nvironmental projects relating to </w:t>
            </w:r>
            <w:r w:rsidRPr="00860462">
              <w:t>alternative fuel vehicles</w:t>
            </w:r>
            <w:r>
              <w:t xml:space="preserve">. </w:t>
            </w:r>
          </w:p>
          <w:p w:rsidR="008423E4" w:rsidRPr="00E26B13" w:rsidRDefault="001646C1" w:rsidP="00085DA0">
            <w:pPr>
              <w:rPr>
                <w:b/>
              </w:rPr>
            </w:pPr>
          </w:p>
        </w:tc>
      </w:tr>
      <w:tr w:rsidR="00981957" w:rsidTr="00345119">
        <w:tc>
          <w:tcPr>
            <w:tcW w:w="9576" w:type="dxa"/>
          </w:tcPr>
          <w:p w:rsidR="0017725B" w:rsidRDefault="001646C1" w:rsidP="00085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646C1" w:rsidP="00085DA0">
            <w:pPr>
              <w:rPr>
                <w:b/>
                <w:u w:val="single"/>
              </w:rPr>
            </w:pPr>
          </w:p>
          <w:p w:rsidR="00DE78B3" w:rsidRPr="00DE78B3" w:rsidRDefault="001646C1" w:rsidP="00085DA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1646C1" w:rsidP="00085DA0">
            <w:pPr>
              <w:rPr>
                <w:b/>
                <w:u w:val="single"/>
              </w:rPr>
            </w:pPr>
          </w:p>
        </w:tc>
      </w:tr>
      <w:tr w:rsidR="00981957" w:rsidTr="00345119">
        <w:tc>
          <w:tcPr>
            <w:tcW w:w="9576" w:type="dxa"/>
          </w:tcPr>
          <w:p w:rsidR="008423E4" w:rsidRPr="00A8133F" w:rsidRDefault="001646C1" w:rsidP="00085D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646C1" w:rsidP="00085DA0"/>
          <w:p w:rsidR="00DE78B3" w:rsidRDefault="001646C1" w:rsidP="00085D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1646C1" w:rsidP="00085DA0">
            <w:pPr>
              <w:rPr>
                <w:b/>
              </w:rPr>
            </w:pPr>
          </w:p>
        </w:tc>
      </w:tr>
      <w:tr w:rsidR="00981957" w:rsidTr="00345119">
        <w:tc>
          <w:tcPr>
            <w:tcW w:w="9576" w:type="dxa"/>
          </w:tcPr>
          <w:p w:rsidR="008423E4" w:rsidRPr="00A8133F" w:rsidRDefault="001646C1" w:rsidP="00085D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646C1" w:rsidP="00085DA0"/>
          <w:p w:rsidR="004B17D9" w:rsidRDefault="001646C1" w:rsidP="00085DA0">
            <w:pPr>
              <w:pStyle w:val="Header"/>
              <w:jc w:val="both"/>
            </w:pPr>
            <w:r>
              <w:t xml:space="preserve">H.B. 4493 amends the Water Code to authorize the Texas Commission </w:t>
            </w:r>
            <w:r>
              <w:t xml:space="preserve">on </w:t>
            </w:r>
            <w:r>
              <w:t xml:space="preserve">Environmental Quality (TCEQ) to </w:t>
            </w:r>
            <w:r w:rsidRPr="00F52284">
              <w:t>determine the types of projects that may be approved as a supplemental environmental project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>requires those types of projects to include the</w:t>
            </w:r>
            <w:r>
              <w:t xml:space="preserve"> following for </w:t>
            </w:r>
            <w:r w:rsidRPr="0062532D">
              <w:t>a respondent that is a local government</w:t>
            </w:r>
            <w:r>
              <w:t>:</w:t>
            </w:r>
            <w:r>
              <w:t xml:space="preserve"> </w:t>
            </w:r>
          </w:p>
          <w:p w:rsidR="000438C8" w:rsidRDefault="001646C1" w:rsidP="00085DA0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purchasing, operating, or maintaining</w:t>
            </w:r>
            <w:r>
              <w:t>:</w:t>
            </w:r>
            <w:r>
              <w:t xml:space="preserve"> </w:t>
            </w:r>
          </w:p>
          <w:p w:rsidR="000438C8" w:rsidRDefault="001646C1" w:rsidP="00085DA0">
            <w:pPr>
              <w:pStyle w:val="Header"/>
              <w:numPr>
                <w:ilvl w:val="1"/>
                <w:numId w:val="4"/>
              </w:numPr>
              <w:spacing w:before="120" w:after="120"/>
              <w:jc w:val="both"/>
            </w:pPr>
            <w:r>
              <w:t>alternative fuel vehicles, including passenger cars, light trucks, heavy trucks, and buses; and</w:t>
            </w:r>
          </w:p>
          <w:p w:rsidR="004B17D9" w:rsidRDefault="001646C1" w:rsidP="00085DA0">
            <w:pPr>
              <w:pStyle w:val="Header"/>
              <w:numPr>
                <w:ilvl w:val="1"/>
                <w:numId w:val="4"/>
              </w:numPr>
              <w:spacing w:before="120" w:after="120"/>
              <w:jc w:val="both"/>
            </w:pPr>
            <w:r>
              <w:t>alternative fue</w:t>
            </w:r>
            <w:r>
              <w:t xml:space="preserve">l heavy equipment, including tractors, bulldozers, front-end loaders, and motor graders; </w:t>
            </w:r>
          </w:p>
          <w:p w:rsidR="004B17D9" w:rsidRDefault="001646C1" w:rsidP="00085DA0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constructing, operating, or maintaining alternative fuel refueling infrastructure necessary to operate an alternative fuel fleet; and </w:t>
            </w:r>
          </w:p>
          <w:p w:rsidR="004B17D9" w:rsidRDefault="001646C1" w:rsidP="00085DA0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providing energy efficiency upg</w:t>
            </w:r>
            <w:r>
              <w:t>rades to buildings and facilities owned by the local government, including heating, ventilation, air conditioning, lighting, and building envelope upgrades.</w:t>
            </w:r>
            <w:r>
              <w:t xml:space="preserve"> </w:t>
            </w:r>
          </w:p>
          <w:p w:rsidR="008423E4" w:rsidRDefault="001646C1" w:rsidP="00085DA0">
            <w:pPr>
              <w:pStyle w:val="Header"/>
              <w:jc w:val="both"/>
            </w:pPr>
            <w:r>
              <w:t>The bill</w:t>
            </w:r>
            <w:r>
              <w:t xml:space="preserve"> requires TCEQ</w:t>
            </w:r>
            <w:r>
              <w:t xml:space="preserve">, for </w:t>
            </w:r>
            <w:r w:rsidRPr="00DE78B3">
              <w:t>a supplemental environmental project involving alternative fuel vehicl</w:t>
            </w:r>
            <w:r w:rsidRPr="00DE78B3">
              <w:t>es,</w:t>
            </w:r>
            <w:r>
              <w:t xml:space="preserve"> to allow the project to include the entire cost of the vehicle and any alternative fuel equipment or upgrades involved and prohibits TCEQ from limiting</w:t>
            </w:r>
            <w:r>
              <w:t xml:space="preserve"> the</w:t>
            </w:r>
            <w:r>
              <w:t xml:space="preserve"> </w:t>
            </w:r>
            <w:r w:rsidRPr="00DE78B3">
              <w:t xml:space="preserve">project to including only the difference in cost between conventional fuel vehicles, equipment, </w:t>
            </w:r>
            <w:r w:rsidRPr="00DE78B3">
              <w:t>or upgrades and the alternative fuel counterparts.</w:t>
            </w:r>
            <w:r>
              <w:t xml:space="preserve"> The bill prohibits TCEQ from requiring </w:t>
            </w:r>
            <w:r w:rsidRPr="00DE78B3">
              <w:t>a contract associated with a supplemental environmental project to be for a term of less than five years</w:t>
            </w:r>
            <w:r>
              <w:t xml:space="preserve"> and requires TCEQ to </w:t>
            </w:r>
            <w:r w:rsidRPr="00DE78B3">
              <w:t>allow a contract associated with a suppl</w:t>
            </w:r>
            <w:r w:rsidRPr="00DE78B3">
              <w:t>emental environmental project to be renewable for periods of at least five years</w:t>
            </w:r>
            <w:r>
              <w:t xml:space="preserve">. </w:t>
            </w:r>
          </w:p>
          <w:p w:rsidR="008423E4" w:rsidRPr="00835628" w:rsidRDefault="001646C1" w:rsidP="00085DA0">
            <w:pPr>
              <w:rPr>
                <w:b/>
              </w:rPr>
            </w:pPr>
          </w:p>
        </w:tc>
      </w:tr>
      <w:tr w:rsidR="00981957" w:rsidTr="00345119">
        <w:tc>
          <w:tcPr>
            <w:tcW w:w="9576" w:type="dxa"/>
          </w:tcPr>
          <w:p w:rsidR="008423E4" w:rsidRPr="00A8133F" w:rsidRDefault="001646C1" w:rsidP="00085D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147564" w:rsidRDefault="001646C1" w:rsidP="00085DA0">
            <w:pPr>
              <w:rPr>
                <w:sz w:val="20"/>
              </w:rPr>
            </w:pPr>
          </w:p>
          <w:p w:rsidR="008423E4" w:rsidRPr="003624F2" w:rsidRDefault="001646C1" w:rsidP="00085D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646C1" w:rsidP="00085DA0">
            <w:pPr>
              <w:rPr>
                <w:b/>
              </w:rPr>
            </w:pPr>
          </w:p>
        </w:tc>
      </w:tr>
    </w:tbl>
    <w:p w:rsidR="008423E4" w:rsidRPr="00147564" w:rsidRDefault="001646C1" w:rsidP="008423E4">
      <w:pPr>
        <w:spacing w:line="480" w:lineRule="auto"/>
        <w:jc w:val="both"/>
        <w:rPr>
          <w:rFonts w:ascii="Arial" w:hAnsi="Arial"/>
          <w:sz w:val="2"/>
          <w:szCs w:val="16"/>
        </w:rPr>
      </w:pPr>
    </w:p>
    <w:p w:rsidR="004108C3" w:rsidRPr="00147564" w:rsidRDefault="001646C1" w:rsidP="008423E4">
      <w:pPr>
        <w:rPr>
          <w:sz w:val="2"/>
        </w:rPr>
      </w:pPr>
    </w:p>
    <w:sectPr w:rsidR="004108C3" w:rsidRPr="0014756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46C1">
      <w:r>
        <w:separator/>
      </w:r>
    </w:p>
  </w:endnote>
  <w:endnote w:type="continuationSeparator" w:id="0">
    <w:p w:rsidR="00000000" w:rsidRDefault="0016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15" w:rsidRDefault="00164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1957" w:rsidTr="009C1E9A">
      <w:trPr>
        <w:cantSplit/>
      </w:trPr>
      <w:tc>
        <w:tcPr>
          <w:tcW w:w="0" w:type="pct"/>
        </w:tcPr>
        <w:p w:rsidR="00137D90" w:rsidRDefault="001646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147564" w:rsidRDefault="001646C1" w:rsidP="009C1E9A">
          <w:pPr>
            <w:pStyle w:val="Footer"/>
            <w:tabs>
              <w:tab w:val="clear" w:pos="8640"/>
              <w:tab w:val="right" w:pos="9360"/>
            </w:tabs>
            <w:rPr>
              <w:sz w:val="22"/>
            </w:rPr>
          </w:pPr>
        </w:p>
        <w:p w:rsidR="001A4310" w:rsidRPr="00147564" w:rsidRDefault="001646C1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1646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646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1957" w:rsidTr="009C1E9A">
      <w:trPr>
        <w:cantSplit/>
      </w:trPr>
      <w:tc>
        <w:tcPr>
          <w:tcW w:w="0" w:type="pct"/>
        </w:tcPr>
        <w:p w:rsidR="00EC379B" w:rsidRDefault="001646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646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29435</w:t>
          </w:r>
        </w:p>
      </w:tc>
      <w:tc>
        <w:tcPr>
          <w:tcW w:w="2453" w:type="pct"/>
        </w:tcPr>
        <w:p w:rsidR="00EC379B" w:rsidRDefault="001646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19.114.109</w:t>
          </w:r>
          <w:r>
            <w:fldChar w:fldCharType="end"/>
          </w:r>
        </w:p>
      </w:tc>
    </w:tr>
    <w:tr w:rsidR="00981957" w:rsidTr="00147564">
      <w:trPr>
        <w:cantSplit/>
        <w:trHeight w:val="132"/>
      </w:trPr>
      <w:tc>
        <w:tcPr>
          <w:tcW w:w="0" w:type="pct"/>
        </w:tcPr>
        <w:p w:rsidR="00EC379B" w:rsidRDefault="001646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646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Pr="00147564" w:rsidRDefault="001646C1" w:rsidP="006D504F">
          <w:pPr>
            <w:pStyle w:val="Footer"/>
            <w:rPr>
              <w:rStyle w:val="PageNumber"/>
              <w:sz w:val="2"/>
            </w:rPr>
          </w:pPr>
        </w:p>
        <w:p w:rsidR="00EC379B" w:rsidRDefault="001646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1957" w:rsidTr="00147564">
      <w:trPr>
        <w:cantSplit/>
        <w:trHeight w:val="375"/>
      </w:trPr>
      <w:tc>
        <w:tcPr>
          <w:tcW w:w="0" w:type="pct"/>
          <w:gridSpan w:val="3"/>
        </w:tcPr>
        <w:p w:rsidR="00EC379B" w:rsidRPr="00147564" w:rsidRDefault="001646C1" w:rsidP="009C1E9A">
          <w:pPr>
            <w:pStyle w:val="Footer"/>
            <w:jc w:val="center"/>
            <w:rPr>
              <w:rStyle w:val="PageNumber"/>
              <w:sz w:val="10"/>
            </w:rPr>
          </w:pPr>
          <w:r w:rsidRPr="00147564">
            <w:rPr>
              <w:rStyle w:val="PageNumber"/>
              <w:sz w:val="20"/>
            </w:rPr>
            <w:fldChar w:fldCharType="begin"/>
          </w:r>
          <w:r w:rsidRPr="00147564">
            <w:rPr>
              <w:rStyle w:val="PageNumber"/>
              <w:sz w:val="20"/>
            </w:rPr>
            <w:instrText xml:space="preserve">PAGE  </w:instrText>
          </w:r>
          <w:r w:rsidRPr="00147564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147564">
            <w:rPr>
              <w:rStyle w:val="PageNumber"/>
              <w:sz w:val="20"/>
            </w:rPr>
            <w:fldChar w:fldCharType="end"/>
          </w:r>
        </w:p>
        <w:p w:rsidR="00EC379B" w:rsidRDefault="001646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646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15" w:rsidRDefault="00164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46C1">
      <w:r>
        <w:separator/>
      </w:r>
    </w:p>
  </w:footnote>
  <w:footnote w:type="continuationSeparator" w:id="0">
    <w:p w:rsidR="00000000" w:rsidRDefault="0016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15" w:rsidRDefault="00164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15" w:rsidRDefault="00164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15" w:rsidRDefault="00164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871"/>
    <w:multiLevelType w:val="hybridMultilevel"/>
    <w:tmpl w:val="D310B49A"/>
    <w:lvl w:ilvl="0" w:tplc="32B6C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0A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4B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A6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47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929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0E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8C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0A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C12"/>
    <w:multiLevelType w:val="hybridMultilevel"/>
    <w:tmpl w:val="68DE75DC"/>
    <w:lvl w:ilvl="0" w:tplc="CD42F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4A8D2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9EB8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3AA7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9583B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FE3A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CA83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7E0E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1861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4F31C6"/>
    <w:multiLevelType w:val="hybridMultilevel"/>
    <w:tmpl w:val="62E66D76"/>
    <w:lvl w:ilvl="0" w:tplc="B09E1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05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4A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61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65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CC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3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62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81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D6306"/>
    <w:multiLevelType w:val="hybridMultilevel"/>
    <w:tmpl w:val="59E2BC74"/>
    <w:lvl w:ilvl="0" w:tplc="63E24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86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E4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A2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6B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8B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41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8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23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57"/>
    <w:rsid w:val="001646C1"/>
    <w:rsid w:val="0098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00B641-3B07-468C-A582-EB684E31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78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7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78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7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2235</Characters>
  <Application>Microsoft Office Word</Application>
  <DocSecurity>4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HB04493 (Committee Report (Unamended))</vt:lpstr>
    </vt:vector>
  </TitlesOfParts>
  <Company>State of Texas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29435</dc:subject>
  <dc:creator>State of Texas</dc:creator>
  <dc:description>HB 4493 by Deshotel-(H)Environmental Regulation</dc:description>
  <cp:lastModifiedBy>Erin Conway</cp:lastModifiedBy>
  <cp:revision>2</cp:revision>
  <cp:lastPrinted>2003-11-26T17:21:00Z</cp:lastPrinted>
  <dcterms:created xsi:type="dcterms:W3CDTF">2019-05-02T20:54:00Z</dcterms:created>
  <dcterms:modified xsi:type="dcterms:W3CDTF">2019-05-02T20:54:00Z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19.114.109</vt:lpwstr>
  </property>
</Properties>
</file>