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57F5" w:rsidTr="00345119">
        <w:tc>
          <w:tcPr>
            <w:tcW w:w="9576" w:type="dxa"/>
            <w:noWrap/>
          </w:tcPr>
          <w:p w:rsidR="008423E4" w:rsidRPr="0022177D" w:rsidRDefault="006173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73A2" w:rsidP="008423E4">
      <w:pPr>
        <w:jc w:val="center"/>
      </w:pPr>
    </w:p>
    <w:p w:rsidR="008423E4" w:rsidRPr="00B31F0E" w:rsidRDefault="006173A2" w:rsidP="008423E4"/>
    <w:p w:rsidR="008423E4" w:rsidRPr="00742794" w:rsidRDefault="006173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57F5" w:rsidTr="00345119">
        <w:tc>
          <w:tcPr>
            <w:tcW w:w="9576" w:type="dxa"/>
          </w:tcPr>
          <w:p w:rsidR="008423E4" w:rsidRPr="00861995" w:rsidRDefault="006173A2" w:rsidP="00345119">
            <w:pPr>
              <w:jc w:val="right"/>
            </w:pPr>
            <w:r>
              <w:t>H.B. 4526</w:t>
            </w:r>
          </w:p>
        </w:tc>
      </w:tr>
      <w:tr w:rsidR="00D557F5" w:rsidTr="00345119">
        <w:tc>
          <w:tcPr>
            <w:tcW w:w="9576" w:type="dxa"/>
          </w:tcPr>
          <w:p w:rsidR="008423E4" w:rsidRPr="00861995" w:rsidRDefault="006173A2" w:rsidP="00601497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D557F5" w:rsidTr="00345119">
        <w:tc>
          <w:tcPr>
            <w:tcW w:w="9576" w:type="dxa"/>
          </w:tcPr>
          <w:p w:rsidR="008423E4" w:rsidRPr="00861995" w:rsidRDefault="006173A2" w:rsidP="00345119">
            <w:pPr>
              <w:jc w:val="right"/>
            </w:pPr>
            <w:r>
              <w:t>Judiciary &amp; Civil Jurisprudence</w:t>
            </w:r>
          </w:p>
        </w:tc>
      </w:tr>
      <w:tr w:rsidR="00D557F5" w:rsidTr="00345119">
        <w:tc>
          <w:tcPr>
            <w:tcW w:w="9576" w:type="dxa"/>
          </w:tcPr>
          <w:p w:rsidR="008423E4" w:rsidRDefault="006173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F138FF" w:rsidRDefault="006173A2" w:rsidP="008423E4">
      <w:pPr>
        <w:tabs>
          <w:tab w:val="right" w:pos="9360"/>
        </w:tabs>
        <w:rPr>
          <w:sz w:val="22"/>
        </w:rPr>
      </w:pPr>
    </w:p>
    <w:p w:rsidR="008423E4" w:rsidRPr="00F138FF" w:rsidRDefault="006173A2" w:rsidP="008423E4">
      <w:pPr>
        <w:rPr>
          <w:sz w:val="22"/>
        </w:rPr>
      </w:pPr>
    </w:p>
    <w:p w:rsidR="008423E4" w:rsidRPr="00F138FF" w:rsidRDefault="006173A2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57F5" w:rsidTr="00345119">
        <w:tc>
          <w:tcPr>
            <w:tcW w:w="9576" w:type="dxa"/>
          </w:tcPr>
          <w:p w:rsidR="008423E4" w:rsidRPr="00A8133F" w:rsidRDefault="006173A2" w:rsidP="00F138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F138FF" w:rsidRDefault="006173A2" w:rsidP="00F138FF">
            <w:pPr>
              <w:rPr>
                <w:sz w:val="22"/>
              </w:rPr>
            </w:pPr>
          </w:p>
          <w:p w:rsidR="008423E4" w:rsidRDefault="006173A2" w:rsidP="00F138FF">
            <w:pPr>
              <w:pStyle w:val="Header"/>
              <w:jc w:val="both"/>
            </w:pPr>
            <w:r>
              <w:t>It has been suggested that the current penalty for performing certain prohibited abortions is inadequate</w:t>
            </w:r>
            <w:r>
              <w:t xml:space="preserve"> and that a next friend should be allowed to bring an action for damages relating to violations</w:t>
            </w:r>
            <w:r>
              <w:t xml:space="preserve"> of those prohibition</w:t>
            </w:r>
            <w:r>
              <w:t>s</w:t>
            </w:r>
            <w:r>
              <w:t xml:space="preserve">. H.B. 4526 seeks to make a person who performs such an abortion </w:t>
            </w:r>
            <w:r>
              <w:t>liable to the state for a</w:t>
            </w:r>
            <w:r>
              <w:t xml:space="preserve"> $30,000 </w:t>
            </w:r>
            <w:r>
              <w:t>civil penalty</w:t>
            </w:r>
            <w:r>
              <w:t xml:space="preserve"> </w:t>
            </w:r>
            <w:r>
              <w:t xml:space="preserve">for each violation </w:t>
            </w:r>
            <w:r>
              <w:t xml:space="preserve">and </w:t>
            </w:r>
            <w:r>
              <w:t xml:space="preserve">to </w:t>
            </w:r>
            <w:r>
              <w:t>au</w:t>
            </w:r>
            <w:r>
              <w:t xml:space="preserve">thorize a next friend to bring </w:t>
            </w:r>
            <w:r>
              <w:t>an action</w:t>
            </w:r>
            <w:r>
              <w:t xml:space="preserve"> for related damages</w:t>
            </w:r>
            <w:r>
              <w:t>.</w:t>
            </w:r>
          </w:p>
          <w:p w:rsidR="008423E4" w:rsidRPr="00E26B13" w:rsidRDefault="006173A2" w:rsidP="00F138FF">
            <w:pPr>
              <w:rPr>
                <w:b/>
              </w:rPr>
            </w:pPr>
          </w:p>
        </w:tc>
      </w:tr>
      <w:tr w:rsidR="00D557F5" w:rsidTr="00345119">
        <w:tc>
          <w:tcPr>
            <w:tcW w:w="9576" w:type="dxa"/>
          </w:tcPr>
          <w:p w:rsidR="0017725B" w:rsidRDefault="006173A2" w:rsidP="00F138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138FF" w:rsidRDefault="006173A2" w:rsidP="00F138FF">
            <w:pPr>
              <w:rPr>
                <w:b/>
                <w:sz w:val="22"/>
                <w:u w:val="single"/>
              </w:rPr>
            </w:pPr>
          </w:p>
          <w:p w:rsidR="00B045A5" w:rsidRPr="00B045A5" w:rsidRDefault="006173A2" w:rsidP="00F138F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6173A2" w:rsidP="00F138FF">
            <w:pPr>
              <w:rPr>
                <w:b/>
                <w:u w:val="single"/>
              </w:rPr>
            </w:pPr>
          </w:p>
        </w:tc>
      </w:tr>
      <w:tr w:rsidR="00D557F5" w:rsidTr="00345119">
        <w:tc>
          <w:tcPr>
            <w:tcW w:w="9576" w:type="dxa"/>
          </w:tcPr>
          <w:p w:rsidR="008423E4" w:rsidRPr="00A8133F" w:rsidRDefault="006173A2" w:rsidP="00F138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F138FF" w:rsidRDefault="006173A2" w:rsidP="00F138FF">
            <w:pPr>
              <w:rPr>
                <w:sz w:val="22"/>
              </w:rPr>
            </w:pPr>
          </w:p>
          <w:p w:rsidR="00B045A5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173A2" w:rsidP="00F138FF">
            <w:pPr>
              <w:rPr>
                <w:b/>
              </w:rPr>
            </w:pPr>
          </w:p>
        </w:tc>
      </w:tr>
      <w:tr w:rsidR="00D557F5" w:rsidTr="00345119">
        <w:tc>
          <w:tcPr>
            <w:tcW w:w="9576" w:type="dxa"/>
          </w:tcPr>
          <w:p w:rsidR="008423E4" w:rsidRPr="00A8133F" w:rsidRDefault="006173A2" w:rsidP="00F138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F138FF" w:rsidRDefault="006173A2" w:rsidP="00F138FF">
            <w:pPr>
              <w:rPr>
                <w:sz w:val="22"/>
              </w:rPr>
            </w:pPr>
          </w:p>
          <w:p w:rsidR="006A2055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045A5">
              <w:t>H.B. 4526 amends the Civil Practice and Remedies Code to make a person</w:t>
            </w:r>
            <w:r>
              <w:t xml:space="preserve"> or physician, as applicable,</w:t>
            </w:r>
            <w:r w:rsidRPr="00B045A5">
              <w:t xml:space="preserve"> liable for damages arising from </w:t>
            </w:r>
            <w:r>
              <w:t>doing any of the following in</w:t>
            </w:r>
            <w:r w:rsidRPr="00B045A5">
              <w:t xml:space="preserve"> violation of </w:t>
            </w:r>
            <w:r>
              <w:t xml:space="preserve">the </w:t>
            </w:r>
            <w:r w:rsidRPr="00B045A5">
              <w:t>Health and Safety C</w:t>
            </w:r>
            <w:r w:rsidRPr="00B045A5">
              <w:t>ode</w:t>
            </w:r>
            <w:r>
              <w:t>:</w:t>
            </w:r>
            <w:r w:rsidRPr="00B045A5">
              <w:t xml:space="preserve"> </w:t>
            </w:r>
          </w:p>
          <w:p w:rsidR="006A2055" w:rsidRDefault="006173A2" w:rsidP="00F138F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B045A5">
              <w:t>intentionally or knowingly performing a third</w:t>
            </w:r>
            <w:r>
              <w:t>-</w:t>
            </w:r>
            <w:r w:rsidRPr="00B045A5">
              <w:t>trimester abortion</w:t>
            </w:r>
            <w:r>
              <w:t xml:space="preserve"> o</w:t>
            </w:r>
            <w:r>
              <w:t>f</w:t>
            </w:r>
            <w:r>
              <w:t xml:space="preserve"> a viable unborn child</w:t>
            </w:r>
            <w:r>
              <w:t>;</w:t>
            </w:r>
            <w:r w:rsidRPr="00B045A5">
              <w:t xml:space="preserve"> </w:t>
            </w:r>
          </w:p>
          <w:p w:rsidR="00841C32" w:rsidRDefault="006173A2" w:rsidP="00F138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performing, inducing, or attempting to perform or induce an abortion without attempting to determine or rely on another physician's determination of the post-</w:t>
            </w:r>
            <w:r>
              <w:t>fertilization age of the unborn child;</w:t>
            </w:r>
          </w:p>
          <w:p w:rsidR="006A2055" w:rsidRDefault="006173A2" w:rsidP="00F138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performing</w:t>
            </w:r>
            <w:r>
              <w:t>, inducing, or attempting to perform or induce</w:t>
            </w:r>
            <w:r>
              <w:t xml:space="preserve"> </w:t>
            </w:r>
            <w:r w:rsidRPr="00B045A5">
              <w:t xml:space="preserve">an abortion </w:t>
            </w:r>
            <w:r>
              <w:t>o</w:t>
            </w:r>
            <w:r>
              <w:t>f</w:t>
            </w:r>
            <w:r w:rsidRPr="00B045A5">
              <w:t xml:space="preserve"> </w:t>
            </w:r>
            <w:r w:rsidRPr="00B045A5">
              <w:t xml:space="preserve">an unborn child </w:t>
            </w:r>
            <w:r>
              <w:t xml:space="preserve">determined to probably be </w:t>
            </w:r>
            <w:r w:rsidRPr="00B045A5">
              <w:t>20 or more weeks post-fertilization</w:t>
            </w:r>
            <w:r>
              <w:t>;</w:t>
            </w:r>
            <w:r w:rsidRPr="00B045A5">
              <w:t xml:space="preserve"> </w:t>
            </w:r>
          </w:p>
          <w:p w:rsidR="006A2055" w:rsidRDefault="006173A2" w:rsidP="00F138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knowingly performing a </w:t>
            </w:r>
            <w:r w:rsidRPr="00B045A5">
              <w:t>partial-birth abortion</w:t>
            </w:r>
            <w:r>
              <w:t>;</w:t>
            </w:r>
            <w:r w:rsidRPr="00B045A5">
              <w:t xml:space="preserve"> </w:t>
            </w:r>
            <w:r>
              <w:t>or</w:t>
            </w:r>
            <w:r w:rsidRPr="00B045A5">
              <w:t xml:space="preserve"> </w:t>
            </w:r>
          </w:p>
          <w:p w:rsidR="00841C32" w:rsidRDefault="006173A2" w:rsidP="00F138F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intentionally </w:t>
            </w:r>
            <w:r>
              <w:t xml:space="preserve">performing a </w:t>
            </w:r>
            <w:r w:rsidRPr="00B045A5">
              <w:t>dismemberment abortion</w:t>
            </w:r>
            <w:r>
              <w:t xml:space="preserve"> that is not necessary in a medical emergency.</w:t>
            </w:r>
            <w:r w:rsidRPr="00B045A5">
              <w:t xml:space="preserve"> </w:t>
            </w:r>
          </w:p>
          <w:p w:rsidR="00B045A5" w:rsidRPr="00B045A5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045A5">
              <w:t xml:space="preserve">The bill </w:t>
            </w:r>
            <w:r>
              <w:t>authorizes</w:t>
            </w:r>
            <w:r w:rsidRPr="00B045A5">
              <w:t xml:space="preserve"> </w:t>
            </w:r>
            <w:r w:rsidRPr="00B045A5">
              <w:t>a next friend to bring an action for th</w:t>
            </w:r>
            <w:r>
              <w:t>os</w:t>
            </w:r>
            <w:r w:rsidRPr="00B045A5">
              <w:t xml:space="preserve">e damages. </w:t>
            </w:r>
          </w:p>
          <w:p w:rsidR="00B045A5" w:rsidRPr="00F138FF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8423E4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045A5">
              <w:t xml:space="preserve">H.B. 4526 amends the Health and Safety Code to impose a civil penalty of $30,000 on a person for </w:t>
            </w:r>
            <w:r w:rsidRPr="00B045A5">
              <w:t xml:space="preserve">each </w:t>
            </w:r>
            <w:r>
              <w:t xml:space="preserve">such </w:t>
            </w:r>
            <w:r w:rsidRPr="00B045A5">
              <w:t>violation</w:t>
            </w:r>
            <w:r>
              <w:t>.</w:t>
            </w:r>
            <w:r w:rsidRPr="00B045A5">
              <w:t xml:space="preserve"> </w:t>
            </w:r>
            <w:r>
              <w:t xml:space="preserve">The bill </w:t>
            </w:r>
            <w:r w:rsidRPr="00B045A5">
              <w:t>authorizes the attorney general to sue to collect the penalty</w:t>
            </w:r>
            <w:r>
              <w:t xml:space="preserve"> and sets out provisions relating to </w:t>
            </w:r>
            <w:r>
              <w:t xml:space="preserve">venue and the attorney general's recovery of reasonable expenses in </w:t>
            </w:r>
            <w:r>
              <w:t>such an action.</w:t>
            </w:r>
            <w:r w:rsidRPr="00B045A5">
              <w:t xml:space="preserve">   </w:t>
            </w:r>
          </w:p>
          <w:p w:rsidR="008423E4" w:rsidRPr="00835628" w:rsidRDefault="006173A2" w:rsidP="00F138FF">
            <w:pPr>
              <w:rPr>
                <w:b/>
              </w:rPr>
            </w:pPr>
          </w:p>
        </w:tc>
      </w:tr>
      <w:tr w:rsidR="00D557F5" w:rsidTr="00345119">
        <w:tc>
          <w:tcPr>
            <w:tcW w:w="9576" w:type="dxa"/>
          </w:tcPr>
          <w:p w:rsidR="008423E4" w:rsidRPr="00A8133F" w:rsidRDefault="006173A2" w:rsidP="00F138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73A2" w:rsidP="00F138FF"/>
          <w:p w:rsidR="008423E4" w:rsidRPr="00233FDB" w:rsidRDefault="006173A2" w:rsidP="00F138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F138FF" w:rsidRDefault="006173A2" w:rsidP="008423E4">
      <w:pPr>
        <w:rPr>
          <w:sz w:val="14"/>
        </w:rPr>
      </w:pPr>
    </w:p>
    <w:sectPr w:rsidR="004108C3" w:rsidRPr="00F138F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3A2">
      <w:r>
        <w:separator/>
      </w:r>
    </w:p>
  </w:endnote>
  <w:endnote w:type="continuationSeparator" w:id="0">
    <w:p w:rsidR="00000000" w:rsidRDefault="0061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57F5" w:rsidTr="009C1E9A">
      <w:trPr>
        <w:cantSplit/>
      </w:trPr>
      <w:tc>
        <w:tcPr>
          <w:tcW w:w="0" w:type="pct"/>
        </w:tcPr>
        <w:p w:rsidR="00137D90" w:rsidRDefault="00617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73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73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7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7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7F5" w:rsidTr="009C1E9A">
      <w:trPr>
        <w:cantSplit/>
      </w:trPr>
      <w:tc>
        <w:tcPr>
          <w:tcW w:w="0" w:type="pct"/>
        </w:tcPr>
        <w:p w:rsidR="00EC379B" w:rsidRDefault="00617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73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24503</w:t>
          </w:r>
        </w:p>
      </w:tc>
      <w:tc>
        <w:tcPr>
          <w:tcW w:w="2453" w:type="pct"/>
        </w:tcPr>
        <w:p w:rsidR="00EC379B" w:rsidRDefault="00617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19.96.66</w:t>
          </w:r>
          <w:r>
            <w:fldChar w:fldCharType="end"/>
          </w:r>
        </w:p>
      </w:tc>
    </w:tr>
    <w:tr w:rsidR="00D557F5" w:rsidTr="009C1E9A">
      <w:trPr>
        <w:cantSplit/>
      </w:trPr>
      <w:tc>
        <w:tcPr>
          <w:tcW w:w="0" w:type="pct"/>
        </w:tcPr>
        <w:p w:rsidR="00EC379B" w:rsidRDefault="006173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73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73A2" w:rsidP="006D504F">
          <w:pPr>
            <w:pStyle w:val="Footer"/>
            <w:rPr>
              <w:rStyle w:val="PageNumber"/>
            </w:rPr>
          </w:pPr>
        </w:p>
        <w:p w:rsidR="00EC379B" w:rsidRDefault="00617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7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73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73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73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3A2">
      <w:r>
        <w:separator/>
      </w:r>
    </w:p>
  </w:footnote>
  <w:footnote w:type="continuationSeparator" w:id="0">
    <w:p w:rsidR="00000000" w:rsidRDefault="0061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2B66"/>
    <w:multiLevelType w:val="hybridMultilevel"/>
    <w:tmpl w:val="5F52402C"/>
    <w:lvl w:ilvl="0" w:tplc="BFE0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AF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2A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0B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82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03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C9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7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23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A71"/>
    <w:multiLevelType w:val="hybridMultilevel"/>
    <w:tmpl w:val="63A65F5E"/>
    <w:lvl w:ilvl="0" w:tplc="49C46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4F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0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6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0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A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EB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04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63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5"/>
    <w:rsid w:val="006173A2"/>
    <w:rsid w:val="00D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BCF42B-0A5D-4E91-BF8B-E1C419C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04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5A5"/>
  </w:style>
  <w:style w:type="character" w:styleId="CommentReference">
    <w:name w:val="annotation reference"/>
    <w:basedOn w:val="DefaultParagraphFont"/>
    <w:semiHidden/>
    <w:unhideWhenUsed/>
    <w:rsid w:val="00B045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1893</Characters>
  <Application>Microsoft Office Word</Application>
  <DocSecurity>4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HB04526 (Committee Report (Unamended))</vt:lpstr>
    </vt:vector>
  </TitlesOfParts>
  <Company>State of Texas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24503</dc:subject>
  <dc:creator>State of Texas</dc:creator>
  <dc:description>HB 4526 by Swanson-(H)Judiciary &amp; Civil Jurisprudence</dc:description>
  <cp:lastModifiedBy>Laura Ramsay</cp:lastModifiedBy>
  <cp:revision>2</cp:revision>
  <cp:lastPrinted>2003-11-26T17:21:00Z</cp:lastPrinted>
  <dcterms:created xsi:type="dcterms:W3CDTF">2019-05-02T00:14:00Z</dcterms:created>
  <dcterms:modified xsi:type="dcterms:W3CDTF">2019-05-02T00:14:00Z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19.96.66</vt:lpwstr>
  </property>
</Properties>
</file>