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438E6" w:rsidTr="00345119">
        <w:tc>
          <w:tcPr>
            <w:tcW w:w="9576" w:type="dxa"/>
            <w:noWrap/>
          </w:tcPr>
          <w:p w:rsidR="008423E4" w:rsidRPr="0022177D" w:rsidRDefault="005C4683" w:rsidP="00345119">
            <w:pPr>
              <w:pStyle w:val="Heading1"/>
            </w:pPr>
            <w:bookmarkStart w:id="0" w:name="_GoBack"/>
            <w:bookmarkEnd w:id="0"/>
            <w:r w:rsidRPr="00631897">
              <w:t>BILL ANALYSIS</w:t>
            </w:r>
          </w:p>
        </w:tc>
      </w:tr>
    </w:tbl>
    <w:p w:rsidR="008423E4" w:rsidRPr="0022177D" w:rsidRDefault="005C4683" w:rsidP="008423E4">
      <w:pPr>
        <w:jc w:val="center"/>
      </w:pPr>
    </w:p>
    <w:p w:rsidR="008423E4" w:rsidRPr="00B31F0E" w:rsidRDefault="005C4683" w:rsidP="008423E4"/>
    <w:p w:rsidR="008423E4" w:rsidRPr="00742794" w:rsidRDefault="005C4683" w:rsidP="008423E4">
      <w:pPr>
        <w:tabs>
          <w:tab w:val="right" w:pos="9360"/>
        </w:tabs>
      </w:pPr>
    </w:p>
    <w:tbl>
      <w:tblPr>
        <w:tblW w:w="0" w:type="auto"/>
        <w:tblLayout w:type="fixed"/>
        <w:tblLook w:val="01E0" w:firstRow="1" w:lastRow="1" w:firstColumn="1" w:lastColumn="1" w:noHBand="0" w:noVBand="0"/>
      </w:tblPr>
      <w:tblGrid>
        <w:gridCol w:w="9576"/>
      </w:tblGrid>
      <w:tr w:rsidR="009438E6" w:rsidTr="00345119">
        <w:tc>
          <w:tcPr>
            <w:tcW w:w="9576" w:type="dxa"/>
          </w:tcPr>
          <w:p w:rsidR="008423E4" w:rsidRPr="00861995" w:rsidRDefault="005C4683" w:rsidP="00345119">
            <w:pPr>
              <w:jc w:val="right"/>
            </w:pPr>
            <w:r>
              <w:t>H.B. 4551</w:t>
            </w:r>
          </w:p>
        </w:tc>
      </w:tr>
      <w:tr w:rsidR="009438E6" w:rsidTr="00345119">
        <w:tc>
          <w:tcPr>
            <w:tcW w:w="9576" w:type="dxa"/>
          </w:tcPr>
          <w:p w:rsidR="008423E4" w:rsidRPr="00861995" w:rsidRDefault="005C4683" w:rsidP="00E57026">
            <w:pPr>
              <w:jc w:val="right"/>
            </w:pPr>
            <w:r>
              <w:t xml:space="preserve">By: </w:t>
            </w:r>
            <w:r>
              <w:t>Dutton</w:t>
            </w:r>
          </w:p>
        </w:tc>
      </w:tr>
      <w:tr w:rsidR="009438E6" w:rsidTr="00345119">
        <w:tc>
          <w:tcPr>
            <w:tcW w:w="9576" w:type="dxa"/>
          </w:tcPr>
          <w:p w:rsidR="008423E4" w:rsidRPr="00861995" w:rsidRDefault="005C4683" w:rsidP="00345119">
            <w:pPr>
              <w:jc w:val="right"/>
            </w:pPr>
            <w:r>
              <w:t>Judiciary &amp; Civil Jurisprudence</w:t>
            </w:r>
          </w:p>
        </w:tc>
      </w:tr>
      <w:tr w:rsidR="009438E6" w:rsidTr="00345119">
        <w:tc>
          <w:tcPr>
            <w:tcW w:w="9576" w:type="dxa"/>
          </w:tcPr>
          <w:p w:rsidR="008423E4" w:rsidRDefault="005C4683" w:rsidP="00345119">
            <w:pPr>
              <w:jc w:val="right"/>
            </w:pPr>
            <w:r>
              <w:t>Committee Report (Unamended)</w:t>
            </w:r>
          </w:p>
        </w:tc>
      </w:tr>
    </w:tbl>
    <w:p w:rsidR="008423E4" w:rsidRDefault="005C4683" w:rsidP="008423E4">
      <w:pPr>
        <w:tabs>
          <w:tab w:val="right" w:pos="9360"/>
        </w:tabs>
      </w:pPr>
    </w:p>
    <w:p w:rsidR="008423E4" w:rsidRDefault="005C4683" w:rsidP="008423E4"/>
    <w:p w:rsidR="008423E4" w:rsidRDefault="005C4683" w:rsidP="008423E4"/>
    <w:tbl>
      <w:tblPr>
        <w:tblW w:w="0" w:type="auto"/>
        <w:tblCellMar>
          <w:left w:w="115" w:type="dxa"/>
          <w:right w:w="115" w:type="dxa"/>
        </w:tblCellMar>
        <w:tblLook w:val="01E0" w:firstRow="1" w:lastRow="1" w:firstColumn="1" w:lastColumn="1" w:noHBand="0" w:noVBand="0"/>
      </w:tblPr>
      <w:tblGrid>
        <w:gridCol w:w="9576"/>
      </w:tblGrid>
      <w:tr w:rsidR="009438E6" w:rsidTr="00345119">
        <w:tc>
          <w:tcPr>
            <w:tcW w:w="9576" w:type="dxa"/>
          </w:tcPr>
          <w:p w:rsidR="008423E4" w:rsidRPr="00A8133F" w:rsidRDefault="005C4683" w:rsidP="00E86DA4">
            <w:pPr>
              <w:rPr>
                <w:b/>
              </w:rPr>
            </w:pPr>
            <w:r w:rsidRPr="009C1E9A">
              <w:rPr>
                <w:b/>
                <w:u w:val="single"/>
              </w:rPr>
              <w:t>BACKGROUND AND PURPOSE</w:t>
            </w:r>
            <w:r>
              <w:rPr>
                <w:b/>
              </w:rPr>
              <w:t xml:space="preserve"> </w:t>
            </w:r>
          </w:p>
          <w:p w:rsidR="008423E4" w:rsidRDefault="005C4683" w:rsidP="00E86DA4"/>
          <w:p w:rsidR="008423E4" w:rsidRDefault="005C4683" w:rsidP="00E86DA4">
            <w:pPr>
              <w:pStyle w:val="Header"/>
              <w:tabs>
                <w:tab w:val="clear" w:pos="4320"/>
                <w:tab w:val="clear" w:pos="8640"/>
              </w:tabs>
              <w:jc w:val="both"/>
            </w:pPr>
            <w:r>
              <w:t xml:space="preserve">It has been noted that in cases </w:t>
            </w:r>
            <w:r>
              <w:t>for which</w:t>
            </w:r>
            <w:r>
              <w:t xml:space="preserve"> a court determines that a political subdivision acted unlawfully or without authority, the court typically does not award court costs and attorney's fees to the prevailing party. Concerns have been raised that this makes it excessively expensive for aggri</w:t>
            </w:r>
            <w:r>
              <w:t xml:space="preserve">eved </w:t>
            </w:r>
            <w:r>
              <w:t xml:space="preserve">parties </w:t>
            </w:r>
            <w:r>
              <w:t xml:space="preserve">to seek judicial redress </w:t>
            </w:r>
            <w:r>
              <w:t xml:space="preserve">with regard to </w:t>
            </w:r>
            <w:r>
              <w:t xml:space="preserve">political subdivisions and may </w:t>
            </w:r>
            <w:r>
              <w:t>discourage citizens from challenging potentially unlawful actions by political subdivisions. H.B.</w:t>
            </w:r>
            <w:r>
              <w:t> </w:t>
            </w:r>
            <w:r>
              <w:t>4551 seeks to address this issue by requiring the award of court costs and</w:t>
            </w:r>
            <w:r>
              <w:t xml:space="preserve"> attorneys fees to the prevailing party in certain actions challenging certain local laws of political subdivisions or the failure of certain political subdivisions to perform certain actions. </w:t>
            </w:r>
          </w:p>
          <w:p w:rsidR="008423E4" w:rsidRPr="00E26B13" w:rsidRDefault="005C4683" w:rsidP="00E86DA4">
            <w:pPr>
              <w:rPr>
                <w:b/>
              </w:rPr>
            </w:pPr>
          </w:p>
        </w:tc>
      </w:tr>
      <w:tr w:rsidR="009438E6" w:rsidTr="00345119">
        <w:tc>
          <w:tcPr>
            <w:tcW w:w="9576" w:type="dxa"/>
          </w:tcPr>
          <w:p w:rsidR="0017725B" w:rsidRDefault="005C4683" w:rsidP="00E86DA4">
            <w:pPr>
              <w:rPr>
                <w:b/>
                <w:u w:val="single"/>
              </w:rPr>
            </w:pPr>
            <w:r>
              <w:rPr>
                <w:b/>
                <w:u w:val="single"/>
              </w:rPr>
              <w:t>CRIMINAL JUSTICE IMPACT</w:t>
            </w:r>
          </w:p>
          <w:p w:rsidR="0017725B" w:rsidRDefault="005C4683" w:rsidP="00E86DA4">
            <w:pPr>
              <w:rPr>
                <w:b/>
                <w:u w:val="single"/>
              </w:rPr>
            </w:pPr>
          </w:p>
          <w:p w:rsidR="00415AA1" w:rsidRPr="00415AA1" w:rsidRDefault="005C4683" w:rsidP="00E86DA4">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C4683" w:rsidP="00E86DA4">
            <w:pPr>
              <w:rPr>
                <w:b/>
                <w:u w:val="single"/>
              </w:rPr>
            </w:pPr>
          </w:p>
        </w:tc>
      </w:tr>
      <w:tr w:rsidR="009438E6" w:rsidTr="00345119">
        <w:tc>
          <w:tcPr>
            <w:tcW w:w="9576" w:type="dxa"/>
          </w:tcPr>
          <w:p w:rsidR="008423E4" w:rsidRPr="00A8133F" w:rsidRDefault="005C4683" w:rsidP="00E86DA4">
            <w:pPr>
              <w:rPr>
                <w:b/>
              </w:rPr>
            </w:pPr>
            <w:r w:rsidRPr="009C1E9A">
              <w:rPr>
                <w:b/>
                <w:u w:val="single"/>
              </w:rPr>
              <w:t>RULEMAKING AUTHOR</w:t>
            </w:r>
            <w:r w:rsidRPr="009C1E9A">
              <w:rPr>
                <w:b/>
                <w:u w:val="single"/>
              </w:rPr>
              <w:t>ITY</w:t>
            </w:r>
            <w:r>
              <w:rPr>
                <w:b/>
              </w:rPr>
              <w:t xml:space="preserve"> </w:t>
            </w:r>
          </w:p>
          <w:p w:rsidR="008423E4" w:rsidRDefault="005C4683" w:rsidP="00E86DA4"/>
          <w:p w:rsidR="00415AA1" w:rsidRDefault="005C4683" w:rsidP="00E86DA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C4683" w:rsidP="00E86DA4">
            <w:pPr>
              <w:rPr>
                <w:b/>
              </w:rPr>
            </w:pPr>
          </w:p>
        </w:tc>
      </w:tr>
      <w:tr w:rsidR="009438E6" w:rsidTr="00345119">
        <w:tc>
          <w:tcPr>
            <w:tcW w:w="9576" w:type="dxa"/>
          </w:tcPr>
          <w:p w:rsidR="008423E4" w:rsidRPr="00A8133F" w:rsidRDefault="005C4683" w:rsidP="00E86DA4">
            <w:pPr>
              <w:rPr>
                <w:b/>
              </w:rPr>
            </w:pPr>
            <w:r w:rsidRPr="009C1E9A">
              <w:rPr>
                <w:b/>
                <w:u w:val="single"/>
              </w:rPr>
              <w:t>ANALYSIS</w:t>
            </w:r>
            <w:r>
              <w:rPr>
                <w:b/>
              </w:rPr>
              <w:t xml:space="preserve"> </w:t>
            </w:r>
          </w:p>
          <w:p w:rsidR="008423E4" w:rsidRDefault="005C4683" w:rsidP="00E86DA4"/>
          <w:p w:rsidR="008423E4" w:rsidRDefault="005C4683" w:rsidP="00E86DA4">
            <w:pPr>
              <w:pStyle w:val="Header"/>
              <w:tabs>
                <w:tab w:val="clear" w:pos="4320"/>
                <w:tab w:val="clear" w:pos="8640"/>
              </w:tabs>
              <w:jc w:val="both"/>
            </w:pPr>
            <w:r>
              <w:t xml:space="preserve">H.B. 4551 amends the Civil Practice and Remedies Code to </w:t>
            </w:r>
            <w:r>
              <w:t>require a court</w:t>
            </w:r>
            <w:r>
              <w:t xml:space="preserve"> that</w:t>
            </w:r>
            <w:r>
              <w:t xml:space="preserve"> </w:t>
            </w:r>
            <w:r w:rsidRPr="004B0B0C">
              <w:t xml:space="preserve">determines </w:t>
            </w:r>
            <w:r>
              <w:t xml:space="preserve">that </w:t>
            </w:r>
            <w:r w:rsidRPr="004B0B0C">
              <w:t>an order, ordinance, or similar measure of a political subdivision</w:t>
            </w:r>
            <w:r>
              <w:t xml:space="preserve">, </w:t>
            </w:r>
            <w:r>
              <w:t xml:space="preserve">other than </w:t>
            </w:r>
            <w:r>
              <w:t>a municipality or county with a population of less than 45,000,</w:t>
            </w:r>
            <w:r w:rsidRPr="004B0B0C">
              <w:t xml:space="preserve"> is unenforceable because it is preempted by the state constitution or a state statute</w:t>
            </w:r>
            <w:r>
              <w:t xml:space="preserve"> to </w:t>
            </w:r>
            <w:r w:rsidRPr="004B0B0C">
              <w:t>aw</w:t>
            </w:r>
            <w:r w:rsidRPr="004B0B0C">
              <w:t>ard the person prevailing in the action court costs and reasonable and necessary attorney's fees to be paid by the political subdivision.</w:t>
            </w:r>
            <w:r>
              <w:t xml:space="preserve"> The bill requires a court</w:t>
            </w:r>
            <w:r>
              <w:t xml:space="preserve"> that</w:t>
            </w:r>
            <w:r>
              <w:t xml:space="preserve"> </w:t>
            </w:r>
            <w:r w:rsidRPr="004B0B0C">
              <w:t xml:space="preserve">determines </w:t>
            </w:r>
            <w:r>
              <w:t xml:space="preserve">that </w:t>
            </w:r>
            <w:r w:rsidRPr="004B0B0C">
              <w:t>an officer of a political subdivision</w:t>
            </w:r>
            <w:r>
              <w:t>, other than a municipality or cou</w:t>
            </w:r>
            <w:r>
              <w:t>nty with a population of less than 45,000,</w:t>
            </w:r>
            <w:r w:rsidRPr="004B0B0C">
              <w:t xml:space="preserve"> has failed to perform an act of the office required by the state constitution or a state statute</w:t>
            </w:r>
            <w:r>
              <w:t xml:space="preserve"> to </w:t>
            </w:r>
            <w:r w:rsidRPr="004B0B0C">
              <w:t xml:space="preserve">award the person prevailing in the action court costs and reasonable and necessary attorney's fees to be paid by </w:t>
            </w:r>
            <w:r w:rsidRPr="004B0B0C">
              <w:t>the political subdivision for which the officer served at the time of the failure to perform the act</w:t>
            </w:r>
            <w:r>
              <w:t xml:space="preserve">. </w:t>
            </w:r>
            <w:r>
              <w:t>The bill's provisions apply only to an action commenced on or after the bill's effective date.</w:t>
            </w:r>
          </w:p>
          <w:p w:rsidR="008423E4" w:rsidRPr="00835628" w:rsidRDefault="005C4683" w:rsidP="00E86DA4">
            <w:pPr>
              <w:rPr>
                <w:b/>
              </w:rPr>
            </w:pPr>
          </w:p>
        </w:tc>
      </w:tr>
      <w:tr w:rsidR="009438E6" w:rsidTr="00345119">
        <w:tc>
          <w:tcPr>
            <w:tcW w:w="9576" w:type="dxa"/>
          </w:tcPr>
          <w:p w:rsidR="008423E4" w:rsidRPr="00A8133F" w:rsidRDefault="005C4683" w:rsidP="00E86DA4">
            <w:pPr>
              <w:rPr>
                <w:b/>
              </w:rPr>
            </w:pPr>
            <w:r w:rsidRPr="009C1E9A">
              <w:rPr>
                <w:b/>
                <w:u w:val="single"/>
              </w:rPr>
              <w:t>EFFECTIVE DATE</w:t>
            </w:r>
            <w:r>
              <w:rPr>
                <w:b/>
              </w:rPr>
              <w:t xml:space="preserve"> </w:t>
            </w:r>
          </w:p>
          <w:p w:rsidR="008423E4" w:rsidRDefault="005C4683" w:rsidP="00E86DA4"/>
          <w:p w:rsidR="008423E4" w:rsidRPr="003624F2" w:rsidRDefault="005C4683" w:rsidP="00E86DA4">
            <w:pPr>
              <w:pStyle w:val="Header"/>
              <w:tabs>
                <w:tab w:val="clear" w:pos="4320"/>
                <w:tab w:val="clear" w:pos="8640"/>
              </w:tabs>
              <w:jc w:val="both"/>
            </w:pPr>
            <w:r>
              <w:t>September 1, 2019.</w:t>
            </w:r>
          </w:p>
          <w:p w:rsidR="008423E4" w:rsidRPr="00233FDB" w:rsidRDefault="005C4683" w:rsidP="00E86DA4">
            <w:pPr>
              <w:rPr>
                <w:b/>
              </w:rPr>
            </w:pPr>
          </w:p>
        </w:tc>
      </w:tr>
    </w:tbl>
    <w:p w:rsidR="008423E4" w:rsidRPr="00BE0E75" w:rsidRDefault="005C4683" w:rsidP="008423E4">
      <w:pPr>
        <w:spacing w:line="480" w:lineRule="auto"/>
        <w:jc w:val="both"/>
        <w:rPr>
          <w:rFonts w:ascii="Arial" w:hAnsi="Arial"/>
          <w:sz w:val="16"/>
          <w:szCs w:val="16"/>
        </w:rPr>
      </w:pPr>
    </w:p>
    <w:p w:rsidR="004108C3" w:rsidRPr="008423E4" w:rsidRDefault="005C468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4683">
      <w:r>
        <w:separator/>
      </w:r>
    </w:p>
  </w:endnote>
  <w:endnote w:type="continuationSeparator" w:id="0">
    <w:p w:rsidR="00000000" w:rsidRDefault="005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438E6" w:rsidTr="009C1E9A">
      <w:trPr>
        <w:cantSplit/>
      </w:trPr>
      <w:tc>
        <w:tcPr>
          <w:tcW w:w="0" w:type="pct"/>
        </w:tcPr>
        <w:p w:rsidR="00137D90" w:rsidRDefault="005C4683" w:rsidP="009C1E9A">
          <w:pPr>
            <w:pStyle w:val="Footer"/>
            <w:tabs>
              <w:tab w:val="clear" w:pos="8640"/>
              <w:tab w:val="right" w:pos="9360"/>
            </w:tabs>
          </w:pPr>
        </w:p>
      </w:tc>
      <w:tc>
        <w:tcPr>
          <w:tcW w:w="2395" w:type="pct"/>
        </w:tcPr>
        <w:p w:rsidR="00137D90" w:rsidRDefault="005C4683" w:rsidP="009C1E9A">
          <w:pPr>
            <w:pStyle w:val="Footer"/>
            <w:tabs>
              <w:tab w:val="clear" w:pos="8640"/>
              <w:tab w:val="right" w:pos="9360"/>
            </w:tabs>
          </w:pPr>
        </w:p>
        <w:p w:rsidR="001A4310" w:rsidRDefault="005C4683" w:rsidP="009C1E9A">
          <w:pPr>
            <w:pStyle w:val="Footer"/>
            <w:tabs>
              <w:tab w:val="clear" w:pos="8640"/>
              <w:tab w:val="right" w:pos="9360"/>
            </w:tabs>
          </w:pPr>
        </w:p>
        <w:p w:rsidR="00137D90" w:rsidRDefault="005C4683" w:rsidP="009C1E9A">
          <w:pPr>
            <w:pStyle w:val="Footer"/>
            <w:tabs>
              <w:tab w:val="clear" w:pos="8640"/>
              <w:tab w:val="right" w:pos="9360"/>
            </w:tabs>
          </w:pPr>
        </w:p>
      </w:tc>
      <w:tc>
        <w:tcPr>
          <w:tcW w:w="2453" w:type="pct"/>
        </w:tcPr>
        <w:p w:rsidR="00137D90" w:rsidRDefault="005C4683" w:rsidP="009C1E9A">
          <w:pPr>
            <w:pStyle w:val="Footer"/>
            <w:tabs>
              <w:tab w:val="clear" w:pos="8640"/>
              <w:tab w:val="right" w:pos="9360"/>
            </w:tabs>
            <w:jc w:val="right"/>
          </w:pPr>
        </w:p>
      </w:tc>
    </w:tr>
    <w:tr w:rsidR="009438E6" w:rsidTr="009C1E9A">
      <w:trPr>
        <w:cantSplit/>
      </w:trPr>
      <w:tc>
        <w:tcPr>
          <w:tcW w:w="0" w:type="pct"/>
        </w:tcPr>
        <w:p w:rsidR="00EC379B" w:rsidRDefault="005C4683" w:rsidP="009C1E9A">
          <w:pPr>
            <w:pStyle w:val="Footer"/>
            <w:tabs>
              <w:tab w:val="clear" w:pos="8640"/>
              <w:tab w:val="right" w:pos="9360"/>
            </w:tabs>
          </w:pPr>
        </w:p>
      </w:tc>
      <w:tc>
        <w:tcPr>
          <w:tcW w:w="2395" w:type="pct"/>
        </w:tcPr>
        <w:p w:rsidR="00EC379B" w:rsidRPr="009C1E9A" w:rsidRDefault="005C4683" w:rsidP="009C1E9A">
          <w:pPr>
            <w:pStyle w:val="Footer"/>
            <w:tabs>
              <w:tab w:val="clear" w:pos="8640"/>
              <w:tab w:val="right" w:pos="9360"/>
            </w:tabs>
            <w:rPr>
              <w:rFonts w:ascii="Shruti" w:hAnsi="Shruti"/>
              <w:sz w:val="22"/>
            </w:rPr>
          </w:pPr>
          <w:r>
            <w:rPr>
              <w:rFonts w:ascii="Shruti" w:hAnsi="Shruti"/>
              <w:sz w:val="22"/>
            </w:rPr>
            <w:t>86R 29151</w:t>
          </w:r>
        </w:p>
      </w:tc>
      <w:tc>
        <w:tcPr>
          <w:tcW w:w="2453" w:type="pct"/>
        </w:tcPr>
        <w:p w:rsidR="00EC379B" w:rsidRDefault="005C4683" w:rsidP="009C1E9A">
          <w:pPr>
            <w:pStyle w:val="Footer"/>
            <w:tabs>
              <w:tab w:val="clear" w:pos="8640"/>
              <w:tab w:val="right" w:pos="9360"/>
            </w:tabs>
            <w:jc w:val="right"/>
          </w:pPr>
          <w:r>
            <w:fldChar w:fldCharType="begin"/>
          </w:r>
          <w:r>
            <w:instrText xml:space="preserve"> DOCPROPERTY  OTID  \* MERGEFORMAT </w:instrText>
          </w:r>
          <w:r>
            <w:fldChar w:fldCharType="separate"/>
          </w:r>
          <w:r>
            <w:t>19.112.1151</w:t>
          </w:r>
          <w:r>
            <w:fldChar w:fldCharType="end"/>
          </w:r>
        </w:p>
      </w:tc>
    </w:tr>
    <w:tr w:rsidR="009438E6" w:rsidTr="009C1E9A">
      <w:trPr>
        <w:cantSplit/>
      </w:trPr>
      <w:tc>
        <w:tcPr>
          <w:tcW w:w="0" w:type="pct"/>
        </w:tcPr>
        <w:p w:rsidR="00EC379B" w:rsidRDefault="005C4683" w:rsidP="009C1E9A">
          <w:pPr>
            <w:pStyle w:val="Footer"/>
            <w:tabs>
              <w:tab w:val="clear" w:pos="4320"/>
              <w:tab w:val="clear" w:pos="8640"/>
              <w:tab w:val="left" w:pos="2865"/>
            </w:tabs>
          </w:pPr>
        </w:p>
      </w:tc>
      <w:tc>
        <w:tcPr>
          <w:tcW w:w="2395" w:type="pct"/>
        </w:tcPr>
        <w:p w:rsidR="00EC379B" w:rsidRPr="009C1E9A" w:rsidRDefault="005C4683" w:rsidP="009C1E9A">
          <w:pPr>
            <w:pStyle w:val="Footer"/>
            <w:tabs>
              <w:tab w:val="clear" w:pos="4320"/>
              <w:tab w:val="clear" w:pos="8640"/>
              <w:tab w:val="left" w:pos="2865"/>
            </w:tabs>
            <w:rPr>
              <w:rFonts w:ascii="Shruti" w:hAnsi="Shruti"/>
              <w:sz w:val="22"/>
            </w:rPr>
          </w:pPr>
        </w:p>
      </w:tc>
      <w:tc>
        <w:tcPr>
          <w:tcW w:w="2453" w:type="pct"/>
        </w:tcPr>
        <w:p w:rsidR="00EC379B" w:rsidRDefault="005C4683" w:rsidP="006D504F">
          <w:pPr>
            <w:pStyle w:val="Footer"/>
            <w:rPr>
              <w:rStyle w:val="PageNumber"/>
            </w:rPr>
          </w:pPr>
        </w:p>
        <w:p w:rsidR="00EC379B" w:rsidRDefault="005C4683" w:rsidP="009C1E9A">
          <w:pPr>
            <w:pStyle w:val="Footer"/>
            <w:tabs>
              <w:tab w:val="clear" w:pos="8640"/>
              <w:tab w:val="right" w:pos="9360"/>
            </w:tabs>
            <w:jc w:val="right"/>
          </w:pPr>
        </w:p>
      </w:tc>
    </w:tr>
    <w:tr w:rsidR="009438E6" w:rsidTr="009C1E9A">
      <w:trPr>
        <w:cantSplit/>
        <w:trHeight w:val="323"/>
      </w:trPr>
      <w:tc>
        <w:tcPr>
          <w:tcW w:w="0" w:type="pct"/>
          <w:gridSpan w:val="3"/>
        </w:tcPr>
        <w:p w:rsidR="00EC379B" w:rsidRDefault="005C46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4683" w:rsidP="009C1E9A">
          <w:pPr>
            <w:pStyle w:val="Footer"/>
            <w:tabs>
              <w:tab w:val="clear" w:pos="8640"/>
              <w:tab w:val="right" w:pos="9360"/>
            </w:tabs>
            <w:jc w:val="center"/>
          </w:pPr>
        </w:p>
      </w:tc>
    </w:tr>
  </w:tbl>
  <w:p w:rsidR="00EC379B" w:rsidRPr="00FF6F72" w:rsidRDefault="005C468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4683">
      <w:r>
        <w:separator/>
      </w:r>
    </w:p>
  </w:footnote>
  <w:footnote w:type="continuationSeparator" w:id="0">
    <w:p w:rsidR="00000000" w:rsidRDefault="005C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4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4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E6"/>
    <w:rsid w:val="005C4683"/>
    <w:rsid w:val="0094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D6819-89AF-4D84-87F5-389A59E1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B0B0C"/>
    <w:rPr>
      <w:sz w:val="16"/>
      <w:szCs w:val="16"/>
    </w:rPr>
  </w:style>
  <w:style w:type="paragraph" w:styleId="CommentText">
    <w:name w:val="annotation text"/>
    <w:basedOn w:val="Normal"/>
    <w:link w:val="CommentTextChar"/>
    <w:semiHidden/>
    <w:unhideWhenUsed/>
    <w:rsid w:val="004B0B0C"/>
    <w:rPr>
      <w:sz w:val="20"/>
      <w:szCs w:val="20"/>
    </w:rPr>
  </w:style>
  <w:style w:type="character" w:customStyle="1" w:styleId="CommentTextChar">
    <w:name w:val="Comment Text Char"/>
    <w:basedOn w:val="DefaultParagraphFont"/>
    <w:link w:val="CommentText"/>
    <w:semiHidden/>
    <w:rsid w:val="004B0B0C"/>
  </w:style>
  <w:style w:type="paragraph" w:styleId="CommentSubject">
    <w:name w:val="annotation subject"/>
    <w:basedOn w:val="CommentText"/>
    <w:next w:val="CommentText"/>
    <w:link w:val="CommentSubjectChar"/>
    <w:semiHidden/>
    <w:unhideWhenUsed/>
    <w:rsid w:val="004B0B0C"/>
    <w:rPr>
      <w:b/>
      <w:bCs/>
    </w:rPr>
  </w:style>
  <w:style w:type="character" w:customStyle="1" w:styleId="CommentSubjectChar">
    <w:name w:val="Comment Subject Char"/>
    <w:basedOn w:val="CommentTextChar"/>
    <w:link w:val="CommentSubject"/>
    <w:semiHidden/>
    <w:rsid w:val="004B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2045</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HB04551 (Committee Report (Unamended))</vt:lpstr>
    </vt:vector>
  </TitlesOfParts>
  <Company>State of Texas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29151</dc:subject>
  <dc:creator>State of Texas</dc:creator>
  <dc:description>HB 4551 by Dutton-(H)Judiciary &amp; Civil Jurisprudence</dc:description>
  <cp:lastModifiedBy>Erin Conway</cp:lastModifiedBy>
  <cp:revision>2</cp:revision>
  <cp:lastPrinted>2003-11-26T17:21:00Z</cp:lastPrinted>
  <dcterms:created xsi:type="dcterms:W3CDTF">2019-05-01T23:47:00Z</dcterms:created>
  <dcterms:modified xsi:type="dcterms:W3CDTF">2019-05-01T23:47:00Z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19.112.1151</vt:lpwstr>
  </property>
</Properties>
</file>