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3384" w:rsidTr="00345119">
        <w:tc>
          <w:tcPr>
            <w:tcW w:w="9576" w:type="dxa"/>
            <w:noWrap/>
          </w:tcPr>
          <w:p w:rsidR="008423E4" w:rsidRPr="0022177D" w:rsidRDefault="000124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24B2" w:rsidP="008423E4">
      <w:pPr>
        <w:jc w:val="center"/>
      </w:pPr>
    </w:p>
    <w:p w:rsidR="008423E4" w:rsidRPr="00B31F0E" w:rsidRDefault="000124B2" w:rsidP="008423E4"/>
    <w:p w:rsidR="008423E4" w:rsidRPr="00742794" w:rsidRDefault="000124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3384" w:rsidTr="00345119">
        <w:tc>
          <w:tcPr>
            <w:tcW w:w="9576" w:type="dxa"/>
          </w:tcPr>
          <w:p w:rsidR="008423E4" w:rsidRPr="00861995" w:rsidRDefault="000124B2" w:rsidP="00345119">
            <w:pPr>
              <w:jc w:val="right"/>
            </w:pPr>
            <w:r>
              <w:t>C.S.H.B. 4753</w:t>
            </w:r>
          </w:p>
        </w:tc>
      </w:tr>
      <w:tr w:rsidR="006E3384" w:rsidTr="00345119">
        <w:tc>
          <w:tcPr>
            <w:tcW w:w="9576" w:type="dxa"/>
          </w:tcPr>
          <w:p w:rsidR="008423E4" w:rsidRPr="00861995" w:rsidRDefault="000124B2" w:rsidP="0082734D">
            <w:pPr>
              <w:jc w:val="right"/>
            </w:pPr>
            <w:r>
              <w:t xml:space="preserve">By: </w:t>
            </w:r>
            <w:r>
              <w:t>Lopez</w:t>
            </w:r>
          </w:p>
        </w:tc>
      </w:tr>
      <w:tr w:rsidR="006E3384" w:rsidTr="00345119">
        <w:tc>
          <w:tcPr>
            <w:tcW w:w="9576" w:type="dxa"/>
          </w:tcPr>
          <w:p w:rsidR="008423E4" w:rsidRPr="00861995" w:rsidRDefault="000124B2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6E3384" w:rsidTr="00345119">
        <w:tc>
          <w:tcPr>
            <w:tcW w:w="9576" w:type="dxa"/>
          </w:tcPr>
          <w:p w:rsidR="008423E4" w:rsidRDefault="000124B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124B2" w:rsidP="008423E4">
      <w:pPr>
        <w:tabs>
          <w:tab w:val="right" w:pos="9360"/>
        </w:tabs>
      </w:pPr>
    </w:p>
    <w:p w:rsidR="008423E4" w:rsidRDefault="000124B2" w:rsidP="008423E4"/>
    <w:p w:rsidR="008423E4" w:rsidRDefault="000124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3384" w:rsidTr="00345119">
        <w:tc>
          <w:tcPr>
            <w:tcW w:w="9576" w:type="dxa"/>
          </w:tcPr>
          <w:p w:rsidR="008423E4" w:rsidRPr="00A8133F" w:rsidRDefault="000124B2" w:rsidP="00E460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24B2" w:rsidP="00E46091"/>
          <w:p w:rsidR="008423E4" w:rsidRDefault="000124B2" w:rsidP="00E46091">
            <w:pPr>
              <w:pStyle w:val="Header"/>
              <w:jc w:val="both"/>
            </w:pPr>
            <w:r>
              <w:t>It has been suggested</w:t>
            </w:r>
            <w:r>
              <w:t xml:space="preserve"> that</w:t>
            </w:r>
            <w:r>
              <w:t xml:space="preserve"> the</w:t>
            </w:r>
            <w:r>
              <w:t xml:space="preserve"> rising </w:t>
            </w:r>
            <w:r>
              <w:t xml:space="preserve">cost of </w:t>
            </w:r>
            <w:r>
              <w:t>child</w:t>
            </w:r>
            <w:r>
              <w:t xml:space="preserve"> </w:t>
            </w:r>
            <w:r>
              <w:t>care ha</w:t>
            </w:r>
            <w:r>
              <w:t>s</w:t>
            </w:r>
            <w:r>
              <w:t xml:space="preserve"> made it increasingly difficult for working</w:t>
            </w:r>
            <w:r>
              <w:t xml:space="preserve"> </w:t>
            </w:r>
            <w:r>
              <w:t>families to access adequate and affordable child</w:t>
            </w:r>
            <w:r>
              <w:t xml:space="preserve"> </w:t>
            </w:r>
            <w:r>
              <w:t xml:space="preserve">care. </w:t>
            </w:r>
            <w:r>
              <w:t xml:space="preserve">This </w:t>
            </w:r>
            <w:r>
              <w:t>inability to afford child</w:t>
            </w:r>
            <w:r>
              <w:t xml:space="preserve"> </w:t>
            </w:r>
            <w:r>
              <w:t xml:space="preserve">care </w:t>
            </w:r>
            <w:r>
              <w:t xml:space="preserve">often </w:t>
            </w:r>
            <w:r>
              <w:t>result</w:t>
            </w:r>
            <w:r>
              <w:t>s</w:t>
            </w:r>
            <w:r>
              <w:t xml:space="preserve"> in parents either removing themselves from the workforce or relying on unlicensed and</w:t>
            </w:r>
            <w:r>
              <w:t xml:space="preserve"> </w:t>
            </w:r>
            <w:r>
              <w:t xml:space="preserve">sometimes </w:t>
            </w:r>
            <w:r>
              <w:t>dangerous child</w:t>
            </w:r>
            <w:r>
              <w:t>-</w:t>
            </w:r>
            <w:r>
              <w:t xml:space="preserve">care facilities to </w:t>
            </w:r>
            <w:r>
              <w:t xml:space="preserve">supervise </w:t>
            </w:r>
            <w:r>
              <w:t xml:space="preserve">their </w:t>
            </w:r>
            <w:r>
              <w:t>chi</w:t>
            </w:r>
            <w:r>
              <w:t>ldren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4753 seeks to identify trends in</w:t>
            </w:r>
            <w:r>
              <w:t xml:space="preserve"> the cost of</w:t>
            </w:r>
            <w:r>
              <w:t xml:space="preserve"> child</w:t>
            </w:r>
            <w:r>
              <w:t xml:space="preserve"> </w:t>
            </w:r>
            <w:r>
              <w:t xml:space="preserve">care </w:t>
            </w:r>
            <w:r>
              <w:t xml:space="preserve">as it relates to </w:t>
            </w:r>
            <w:r>
              <w:t xml:space="preserve">family income </w:t>
            </w:r>
            <w:r>
              <w:t xml:space="preserve">growth </w:t>
            </w:r>
            <w:r>
              <w:t>by providing for a study of this topic</w:t>
            </w:r>
            <w:r>
              <w:t>.</w:t>
            </w:r>
          </w:p>
          <w:p w:rsidR="008423E4" w:rsidRPr="00E26B13" w:rsidRDefault="000124B2" w:rsidP="00E46091">
            <w:pPr>
              <w:rPr>
                <w:b/>
              </w:rPr>
            </w:pPr>
          </w:p>
        </w:tc>
      </w:tr>
      <w:tr w:rsidR="006E3384" w:rsidTr="00345119">
        <w:tc>
          <w:tcPr>
            <w:tcW w:w="9576" w:type="dxa"/>
          </w:tcPr>
          <w:p w:rsidR="0017725B" w:rsidRDefault="000124B2" w:rsidP="00E460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24B2" w:rsidP="00E46091">
            <w:pPr>
              <w:rPr>
                <w:b/>
                <w:u w:val="single"/>
              </w:rPr>
            </w:pPr>
          </w:p>
          <w:p w:rsidR="00120486" w:rsidRPr="00120486" w:rsidRDefault="000124B2" w:rsidP="00E46091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124B2" w:rsidP="00E46091">
            <w:pPr>
              <w:rPr>
                <w:b/>
                <w:u w:val="single"/>
              </w:rPr>
            </w:pPr>
          </w:p>
        </w:tc>
      </w:tr>
      <w:tr w:rsidR="006E3384" w:rsidTr="00345119">
        <w:tc>
          <w:tcPr>
            <w:tcW w:w="9576" w:type="dxa"/>
          </w:tcPr>
          <w:p w:rsidR="008423E4" w:rsidRPr="00A8133F" w:rsidRDefault="000124B2" w:rsidP="00E460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24B2" w:rsidP="00E46091"/>
          <w:p w:rsidR="00120486" w:rsidRDefault="000124B2" w:rsidP="00E46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0124B2" w:rsidP="00E46091">
            <w:pPr>
              <w:rPr>
                <w:b/>
              </w:rPr>
            </w:pPr>
          </w:p>
        </w:tc>
      </w:tr>
      <w:tr w:rsidR="006E3384" w:rsidTr="00345119">
        <w:tc>
          <w:tcPr>
            <w:tcW w:w="9576" w:type="dxa"/>
          </w:tcPr>
          <w:p w:rsidR="008423E4" w:rsidRPr="00A8133F" w:rsidRDefault="000124B2" w:rsidP="00E460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24B2" w:rsidP="00E46091"/>
          <w:p w:rsidR="00D24AC2" w:rsidRDefault="000124B2" w:rsidP="00E46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4753 requires the Texas Workforce Commission</w:t>
            </w:r>
            <w:r>
              <w:t xml:space="preserve"> (TWC)</w:t>
            </w:r>
            <w:r>
              <w:t xml:space="preserve"> to </w:t>
            </w:r>
            <w:r w:rsidRPr="00120486">
              <w:t>conduct a study regarding the cost of child care</w:t>
            </w:r>
            <w:r w:rsidRPr="00120486">
              <w:t xml:space="preserve"> in </w:t>
            </w:r>
            <w:r>
              <w:t>Texas</w:t>
            </w:r>
            <w:r w:rsidRPr="00120486">
              <w:t xml:space="preserve"> in comparison to </w:t>
            </w:r>
            <w:r>
              <w:t>family income</w:t>
            </w:r>
            <w:r>
              <w:t xml:space="preserve">. The bill </w:t>
            </w:r>
            <w:r>
              <w:t xml:space="preserve">sets out the data </w:t>
            </w:r>
            <w:r>
              <w:t xml:space="preserve">the study </w:t>
            </w:r>
            <w:r>
              <w:t>must</w:t>
            </w:r>
            <w:r>
              <w:t xml:space="preserve"> examine</w:t>
            </w:r>
            <w:r>
              <w:t xml:space="preserve"> and </w:t>
            </w:r>
            <w:r>
              <w:t>requires the study to estimate the number of families eligible to receive subsidized child care.</w:t>
            </w:r>
          </w:p>
          <w:p w:rsidR="00D24AC2" w:rsidRDefault="000124B2" w:rsidP="00E46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124B2" w:rsidP="00E46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4753 </w:t>
            </w:r>
            <w:r>
              <w:t xml:space="preserve">requires </w:t>
            </w:r>
            <w:r>
              <w:t xml:space="preserve">the </w:t>
            </w:r>
            <w:r>
              <w:t>TWC</w:t>
            </w:r>
            <w:r>
              <w:t xml:space="preserve">, not later than </w:t>
            </w:r>
            <w:r>
              <w:t xml:space="preserve">December </w:t>
            </w:r>
            <w:r>
              <w:t>1</w:t>
            </w:r>
            <w:r>
              <w:t>5</w:t>
            </w:r>
            <w:r>
              <w:t>, 20</w:t>
            </w:r>
            <w:r>
              <w:t>20, to repo</w:t>
            </w:r>
            <w:r>
              <w:t>r</w:t>
            </w:r>
            <w:r>
              <w:t xml:space="preserve">t the results of the study </w:t>
            </w:r>
            <w:r w:rsidRPr="00120486">
              <w:t>to the governor, the lieutenant governor, the speaker of the house of representatives, and each legislative standing committee with jurisdiction over child-care facilities.</w:t>
            </w:r>
            <w:r>
              <w:t xml:space="preserve"> The bill's provisions expire September 1, 20</w:t>
            </w:r>
            <w:r>
              <w:t>21.</w:t>
            </w:r>
          </w:p>
          <w:p w:rsidR="008423E4" w:rsidRPr="00835628" w:rsidRDefault="000124B2" w:rsidP="00E46091">
            <w:pPr>
              <w:rPr>
                <w:b/>
              </w:rPr>
            </w:pPr>
          </w:p>
        </w:tc>
      </w:tr>
      <w:tr w:rsidR="006E3384" w:rsidTr="00345119">
        <w:tc>
          <w:tcPr>
            <w:tcW w:w="9576" w:type="dxa"/>
          </w:tcPr>
          <w:p w:rsidR="008423E4" w:rsidRPr="00A8133F" w:rsidRDefault="000124B2" w:rsidP="00E460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24B2" w:rsidP="00E46091"/>
          <w:p w:rsidR="008423E4" w:rsidRPr="003624F2" w:rsidRDefault="000124B2" w:rsidP="00E460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24B2" w:rsidP="00E46091">
            <w:pPr>
              <w:rPr>
                <w:b/>
              </w:rPr>
            </w:pPr>
          </w:p>
        </w:tc>
      </w:tr>
      <w:tr w:rsidR="006E3384" w:rsidTr="00345119">
        <w:tc>
          <w:tcPr>
            <w:tcW w:w="9576" w:type="dxa"/>
          </w:tcPr>
          <w:p w:rsidR="0082734D" w:rsidRDefault="000124B2" w:rsidP="00E460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77E15" w:rsidRDefault="000124B2" w:rsidP="00E46091">
            <w:pPr>
              <w:jc w:val="both"/>
            </w:pPr>
          </w:p>
          <w:p w:rsidR="00977E15" w:rsidRDefault="000124B2" w:rsidP="00E46091">
            <w:pPr>
              <w:jc w:val="both"/>
            </w:pPr>
            <w:r>
              <w:t xml:space="preserve">While C.S.H.B. 4753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977E15" w:rsidRPr="0062504D" w:rsidRDefault="000124B2" w:rsidP="00E46091">
            <w:pPr>
              <w:jc w:val="both"/>
              <w:rPr>
                <w:sz w:val="22"/>
              </w:rPr>
            </w:pPr>
          </w:p>
          <w:p w:rsidR="00977E15" w:rsidRDefault="000124B2" w:rsidP="00E46091">
            <w:pPr>
              <w:jc w:val="both"/>
            </w:pPr>
            <w:r>
              <w:t xml:space="preserve">The substitute </w:t>
            </w:r>
            <w:r>
              <w:t xml:space="preserve">changes the entity responsible for conducting the study </w:t>
            </w:r>
            <w:r>
              <w:t xml:space="preserve">and reporting the results </w:t>
            </w:r>
            <w:r>
              <w:t xml:space="preserve">from </w:t>
            </w:r>
            <w:r>
              <w:t xml:space="preserve">the Health and Human Services Commission </w:t>
            </w:r>
            <w:r w:rsidRPr="001E0021">
              <w:t xml:space="preserve">with the assistance of </w:t>
            </w:r>
            <w:r>
              <w:t xml:space="preserve">the TWC </w:t>
            </w:r>
            <w:r>
              <w:t xml:space="preserve">to </w:t>
            </w:r>
            <w:r>
              <w:t xml:space="preserve">the </w:t>
            </w:r>
            <w:r>
              <w:t>TWC</w:t>
            </w:r>
            <w:r>
              <w:t xml:space="preserve">. </w:t>
            </w:r>
            <w:r w:rsidRPr="009676F1">
              <w:t>The substitute</w:t>
            </w:r>
            <w:r w:rsidRPr="001E0021">
              <w:t xml:space="preserve"> </w:t>
            </w:r>
            <w:r>
              <w:t>changes the deadline by which the results</w:t>
            </w:r>
            <w:r>
              <w:t xml:space="preserve"> of the study must be reported</w:t>
            </w:r>
            <w:r>
              <w:t xml:space="preserve"> </w:t>
            </w:r>
            <w:r w:rsidRPr="00556E4D">
              <w:t>from September 1, 2020, to December 15, 2020</w:t>
            </w:r>
            <w:r>
              <w:t>.</w:t>
            </w:r>
          </w:p>
          <w:p w:rsidR="00977E15" w:rsidRDefault="000124B2" w:rsidP="00E46091">
            <w:pPr>
              <w:jc w:val="both"/>
            </w:pPr>
          </w:p>
          <w:p w:rsidR="00D63396" w:rsidRDefault="000124B2" w:rsidP="00E46091">
            <w:pPr>
              <w:jc w:val="both"/>
            </w:pPr>
            <w:r>
              <w:t>The substitute with regard to the study:</w:t>
            </w:r>
          </w:p>
          <w:p w:rsidR="00D63396" w:rsidRDefault="000124B2" w:rsidP="00E4609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changes </w:t>
            </w:r>
            <w:r>
              <w:t>the data the study must examine</w:t>
            </w:r>
            <w:r>
              <w:t>;</w:t>
            </w:r>
          </w:p>
          <w:p w:rsidR="00D63396" w:rsidRDefault="000124B2" w:rsidP="00E4609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does not include a</w:t>
            </w:r>
            <w:r>
              <w:t xml:space="preserve"> requirement for the study to compare</w:t>
            </w:r>
            <w:r>
              <w:t xml:space="preserve"> the data for single-parent and two-parent households</w:t>
            </w:r>
            <w:r>
              <w:t>; and</w:t>
            </w:r>
          </w:p>
          <w:p w:rsidR="00977E15" w:rsidRDefault="000124B2" w:rsidP="00E4609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includes a requirement for the study to estimate the number of families eligible to receive subsidized child care.</w:t>
            </w:r>
          </w:p>
          <w:p w:rsidR="00977E15" w:rsidRPr="00977E15" w:rsidRDefault="000124B2" w:rsidP="00E46091">
            <w:pPr>
              <w:jc w:val="both"/>
            </w:pPr>
          </w:p>
        </w:tc>
      </w:tr>
      <w:tr w:rsidR="006E3384" w:rsidTr="00345119">
        <w:tc>
          <w:tcPr>
            <w:tcW w:w="9576" w:type="dxa"/>
          </w:tcPr>
          <w:p w:rsidR="0082734D" w:rsidRPr="009C1E9A" w:rsidRDefault="000124B2" w:rsidP="00E46091">
            <w:pPr>
              <w:rPr>
                <w:b/>
                <w:u w:val="single"/>
              </w:rPr>
            </w:pPr>
          </w:p>
        </w:tc>
      </w:tr>
      <w:tr w:rsidR="006E3384" w:rsidTr="00345119">
        <w:tc>
          <w:tcPr>
            <w:tcW w:w="9576" w:type="dxa"/>
          </w:tcPr>
          <w:p w:rsidR="0082734D" w:rsidRPr="0082734D" w:rsidRDefault="000124B2" w:rsidP="00E46091">
            <w:pPr>
              <w:jc w:val="both"/>
            </w:pPr>
          </w:p>
        </w:tc>
      </w:tr>
    </w:tbl>
    <w:p w:rsidR="008423E4" w:rsidRPr="00BE0E75" w:rsidRDefault="000124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24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24B2">
      <w:r>
        <w:separator/>
      </w:r>
    </w:p>
  </w:endnote>
  <w:endnote w:type="continuationSeparator" w:id="0">
    <w:p w:rsidR="00000000" w:rsidRDefault="000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3384" w:rsidTr="009C1E9A">
      <w:trPr>
        <w:cantSplit/>
      </w:trPr>
      <w:tc>
        <w:tcPr>
          <w:tcW w:w="0" w:type="pct"/>
        </w:tcPr>
        <w:p w:rsidR="00137D90" w:rsidRDefault="000124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24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24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24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24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384" w:rsidTr="009C1E9A">
      <w:trPr>
        <w:cantSplit/>
      </w:trPr>
      <w:tc>
        <w:tcPr>
          <w:tcW w:w="0" w:type="pct"/>
        </w:tcPr>
        <w:p w:rsidR="00EC379B" w:rsidRDefault="000124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24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31479</w:t>
          </w:r>
        </w:p>
      </w:tc>
      <w:tc>
        <w:tcPr>
          <w:tcW w:w="2453" w:type="pct"/>
        </w:tcPr>
        <w:p w:rsidR="00EC379B" w:rsidRDefault="000124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19.122.1024</w:t>
          </w:r>
          <w:r>
            <w:fldChar w:fldCharType="end"/>
          </w:r>
        </w:p>
      </w:tc>
    </w:tr>
    <w:tr w:rsidR="006E3384" w:rsidTr="009C1E9A">
      <w:trPr>
        <w:cantSplit/>
      </w:trPr>
      <w:tc>
        <w:tcPr>
          <w:tcW w:w="0" w:type="pct"/>
        </w:tcPr>
        <w:p w:rsidR="00EC379B" w:rsidRDefault="000124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24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30385</w:t>
          </w:r>
        </w:p>
      </w:tc>
      <w:tc>
        <w:tcPr>
          <w:tcW w:w="2453" w:type="pct"/>
        </w:tcPr>
        <w:p w:rsidR="00EC379B" w:rsidRDefault="000124B2" w:rsidP="006D504F">
          <w:pPr>
            <w:pStyle w:val="Footer"/>
            <w:rPr>
              <w:rStyle w:val="PageNumber"/>
            </w:rPr>
          </w:pPr>
        </w:p>
        <w:p w:rsidR="00EC379B" w:rsidRDefault="000124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3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24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124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24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24B2">
      <w:r>
        <w:separator/>
      </w:r>
    </w:p>
  </w:footnote>
  <w:footnote w:type="continuationSeparator" w:id="0">
    <w:p w:rsidR="00000000" w:rsidRDefault="0001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6FC0"/>
    <w:multiLevelType w:val="hybridMultilevel"/>
    <w:tmpl w:val="AD9CE828"/>
    <w:lvl w:ilvl="0" w:tplc="FD8A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2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A6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4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6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E0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D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62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42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EE5"/>
    <w:multiLevelType w:val="hybridMultilevel"/>
    <w:tmpl w:val="CDDE4BE6"/>
    <w:lvl w:ilvl="0" w:tplc="A9081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04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9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B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2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A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4A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8F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A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4"/>
    <w:rsid w:val="000124B2"/>
    <w:rsid w:val="006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E1AB3-B2D0-441B-929E-DBD21D7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4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4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4AC2"/>
    <w:rPr>
      <w:b/>
      <w:bCs/>
    </w:rPr>
  </w:style>
  <w:style w:type="paragraph" w:styleId="ListParagraph">
    <w:name w:val="List Paragraph"/>
    <w:basedOn w:val="Normal"/>
    <w:uiPriority w:val="34"/>
    <w:qFormat/>
    <w:rsid w:val="00D6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2261</Characters>
  <Application>Microsoft Office Word</Application>
  <DocSecurity>4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HB04753 (Committee Report (Substituted))</vt:lpstr>
    </vt:vector>
  </TitlesOfParts>
  <Company>State of Texas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31479</dc:subject>
  <dc:creator>State of Texas</dc:creator>
  <dc:description>HB 4753 by Lopez-(H)International Relations &amp; Economic Development (Substitute Document Number: 86R 30385)</dc:description>
  <cp:lastModifiedBy>Scotty Wimberley</cp:lastModifiedBy>
  <cp:revision>2</cp:revision>
  <cp:lastPrinted>2003-11-26T17:21:00Z</cp:lastPrinted>
  <dcterms:created xsi:type="dcterms:W3CDTF">2019-05-06T19:12:00Z</dcterms:created>
  <dcterms:modified xsi:type="dcterms:W3CDTF">2019-05-06T19:12:00Z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19.122.1024</vt:lpwstr>
  </property>
</Properties>
</file>