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43487B" w:rsidTr="00345119">
        <w:tc>
          <w:tcPr>
            <w:tcW w:w="9576" w:type="dxa"/>
            <w:noWrap/>
          </w:tcPr>
          <w:p w:rsidR="008423E4" w:rsidRPr="0022177D" w:rsidRDefault="00D62158" w:rsidP="00345119">
            <w:pPr>
              <w:pStyle w:val="Heading1"/>
            </w:pPr>
            <w:bookmarkStart w:id="0" w:name="_GoBack"/>
            <w:bookmarkEnd w:id="0"/>
            <w:r>
              <w:t>RESOLUTION ANALYSIS</w:t>
            </w:r>
          </w:p>
        </w:tc>
      </w:tr>
    </w:tbl>
    <w:p w:rsidR="008423E4" w:rsidRPr="0022177D" w:rsidRDefault="00D62158" w:rsidP="008423E4">
      <w:pPr>
        <w:jc w:val="center"/>
      </w:pPr>
    </w:p>
    <w:p w:rsidR="008423E4" w:rsidRPr="00B31F0E" w:rsidRDefault="00D62158" w:rsidP="008423E4"/>
    <w:p w:rsidR="008423E4" w:rsidRPr="00742794" w:rsidRDefault="00D62158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3487B" w:rsidTr="00345119">
        <w:tc>
          <w:tcPr>
            <w:tcW w:w="9576" w:type="dxa"/>
          </w:tcPr>
          <w:p w:rsidR="008423E4" w:rsidRPr="00861995" w:rsidRDefault="00D62158" w:rsidP="00345119">
            <w:pPr>
              <w:jc w:val="right"/>
            </w:pPr>
            <w:r>
              <w:t>C.S.H.J.R. 10</w:t>
            </w:r>
          </w:p>
        </w:tc>
      </w:tr>
      <w:tr w:rsidR="0043487B" w:rsidTr="00345119">
        <w:tc>
          <w:tcPr>
            <w:tcW w:w="9576" w:type="dxa"/>
          </w:tcPr>
          <w:p w:rsidR="008423E4" w:rsidRPr="00861995" w:rsidRDefault="00D62158" w:rsidP="009928CE">
            <w:pPr>
              <w:jc w:val="right"/>
            </w:pPr>
            <w:r>
              <w:t xml:space="preserve">By: </w:t>
            </w:r>
            <w:r>
              <w:t>Capriglione</w:t>
            </w:r>
          </w:p>
        </w:tc>
      </w:tr>
      <w:tr w:rsidR="0043487B" w:rsidTr="00345119">
        <w:tc>
          <w:tcPr>
            <w:tcW w:w="9576" w:type="dxa"/>
          </w:tcPr>
          <w:p w:rsidR="008423E4" w:rsidRPr="00861995" w:rsidRDefault="00D62158" w:rsidP="00345119">
            <w:pPr>
              <w:jc w:val="right"/>
            </w:pPr>
            <w:r>
              <w:t>Appropriations</w:t>
            </w:r>
          </w:p>
        </w:tc>
      </w:tr>
      <w:tr w:rsidR="0043487B" w:rsidTr="00345119">
        <w:tc>
          <w:tcPr>
            <w:tcW w:w="9576" w:type="dxa"/>
          </w:tcPr>
          <w:p w:rsidR="008423E4" w:rsidRDefault="00D62158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D62158" w:rsidP="008423E4">
      <w:pPr>
        <w:tabs>
          <w:tab w:val="right" w:pos="9360"/>
        </w:tabs>
      </w:pPr>
    </w:p>
    <w:p w:rsidR="008423E4" w:rsidRDefault="00D62158" w:rsidP="008423E4"/>
    <w:p w:rsidR="008423E4" w:rsidRDefault="00D62158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43487B" w:rsidTr="00345119">
        <w:tc>
          <w:tcPr>
            <w:tcW w:w="9576" w:type="dxa"/>
          </w:tcPr>
          <w:p w:rsidR="008423E4" w:rsidRPr="00A8133F" w:rsidRDefault="00D62158" w:rsidP="00C1366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D62158" w:rsidP="00C13660"/>
          <w:p w:rsidR="008423E4" w:rsidRDefault="00D62158" w:rsidP="00C13660">
            <w:pPr>
              <w:pStyle w:val="Header"/>
              <w:jc w:val="both"/>
            </w:pPr>
            <w:r>
              <w:t xml:space="preserve">It has been noted that the balance of the economic stabilization fund, also known as the rainy day fund, is at an all-time high due to increases in severance tax collections. </w:t>
            </w:r>
            <w:r>
              <w:t>It is additionally noted that t</w:t>
            </w:r>
            <w:r>
              <w:t>he comptroller of public accounts has suggested th</w:t>
            </w:r>
            <w:r>
              <w:t>at</w:t>
            </w:r>
            <w:r>
              <w:t>,</w:t>
            </w:r>
            <w:r>
              <w:t xml:space="preserve"> in addition to depositing severance tax revenue into the state highway fund, the remaining severance tax revenues could be deposited into a new, special fund called the Texas legacy fund </w:t>
            </w:r>
            <w:r>
              <w:t xml:space="preserve">(TLF) </w:t>
            </w:r>
            <w:r>
              <w:t xml:space="preserve">to be invested in a manner designed to safeguard a portion </w:t>
            </w:r>
            <w:r>
              <w:t xml:space="preserve">of the revenue the state enjoys today. </w:t>
            </w:r>
            <w:r>
              <w:t>C.S.H.J.R.</w:t>
            </w:r>
            <w:r>
              <w:t xml:space="preserve"> 10 </w:t>
            </w:r>
            <w:r>
              <w:t>proposes a constitutional amendment</w:t>
            </w:r>
            <w:r>
              <w:t xml:space="preserve"> </w:t>
            </w:r>
            <w:r>
              <w:t>to</w:t>
            </w:r>
            <w:r>
              <w:t xml:space="preserve"> establish the </w:t>
            </w:r>
            <w:r>
              <w:t>TLF</w:t>
            </w:r>
            <w:r>
              <w:t xml:space="preserve"> and the </w:t>
            </w:r>
            <w:r>
              <w:t xml:space="preserve">related </w:t>
            </w:r>
            <w:r>
              <w:t xml:space="preserve">Texas legacy distribution fund, </w:t>
            </w:r>
            <w:r>
              <w:t>provide</w:t>
            </w:r>
            <w:r>
              <w:t xml:space="preserve"> for the reallocation of certain severance tax revenue to the </w:t>
            </w:r>
            <w:r>
              <w:t>TLF</w:t>
            </w:r>
            <w:r>
              <w:t xml:space="preserve"> if the </w:t>
            </w:r>
            <w:r>
              <w:t>rainy day</w:t>
            </w:r>
            <w:r>
              <w:t xml:space="preserve"> fund bal</w:t>
            </w:r>
            <w:r>
              <w:t xml:space="preserve">ance is equal to or exceeds </w:t>
            </w:r>
            <w:r>
              <w:t xml:space="preserve">its established </w:t>
            </w:r>
            <w:r>
              <w:t xml:space="preserve">sufficient balance, and </w:t>
            </w:r>
            <w:r>
              <w:t>make</w:t>
            </w:r>
            <w:r>
              <w:t xml:space="preserve"> a one-time transfer of $</w:t>
            </w:r>
            <w:r>
              <w:t>500 million</w:t>
            </w:r>
            <w:r>
              <w:t xml:space="preserve"> to the </w:t>
            </w:r>
            <w:r>
              <w:t>TLF</w:t>
            </w:r>
            <w:r>
              <w:t>.</w:t>
            </w:r>
          </w:p>
          <w:p w:rsidR="008423E4" w:rsidRPr="00E26B13" w:rsidRDefault="00D62158" w:rsidP="00C13660">
            <w:pPr>
              <w:rPr>
                <w:b/>
              </w:rPr>
            </w:pPr>
          </w:p>
        </w:tc>
      </w:tr>
      <w:tr w:rsidR="0043487B" w:rsidTr="00345119">
        <w:tc>
          <w:tcPr>
            <w:tcW w:w="9576" w:type="dxa"/>
          </w:tcPr>
          <w:p w:rsidR="0017725B" w:rsidRDefault="00D62158" w:rsidP="00C1366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D62158" w:rsidP="00C13660">
            <w:pPr>
              <w:rPr>
                <w:b/>
                <w:u w:val="single"/>
              </w:rPr>
            </w:pPr>
          </w:p>
          <w:p w:rsidR="00B550A4" w:rsidRPr="00B550A4" w:rsidRDefault="00D62158" w:rsidP="00C13660">
            <w:pPr>
              <w:jc w:val="both"/>
            </w:pPr>
            <w:r>
              <w:t xml:space="preserve">It is the committee's opinion that this </w:t>
            </w:r>
            <w:r>
              <w:t>resolution</w:t>
            </w:r>
            <w:r>
              <w:t xml:space="preserve">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D62158" w:rsidP="00C13660">
            <w:pPr>
              <w:rPr>
                <w:b/>
                <w:u w:val="single"/>
              </w:rPr>
            </w:pPr>
          </w:p>
        </w:tc>
      </w:tr>
      <w:tr w:rsidR="0043487B" w:rsidTr="00345119">
        <w:tc>
          <w:tcPr>
            <w:tcW w:w="9576" w:type="dxa"/>
          </w:tcPr>
          <w:p w:rsidR="008423E4" w:rsidRPr="00A8133F" w:rsidRDefault="00D62158" w:rsidP="00C1366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D62158" w:rsidP="00C13660"/>
          <w:p w:rsidR="00B550A4" w:rsidRDefault="00D62158" w:rsidP="00C136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</w:t>
            </w:r>
            <w:r>
              <w:t>resolution</w:t>
            </w:r>
            <w:r>
              <w:t xml:space="preserve"> does not expressly grant any additional rulemaking authority to a state officer, department, agency, or institution.</w:t>
            </w:r>
          </w:p>
          <w:p w:rsidR="008423E4" w:rsidRPr="00E21FDC" w:rsidRDefault="00D62158" w:rsidP="00C13660">
            <w:pPr>
              <w:rPr>
                <w:b/>
              </w:rPr>
            </w:pPr>
          </w:p>
        </w:tc>
      </w:tr>
      <w:tr w:rsidR="0043487B" w:rsidTr="00345119">
        <w:tc>
          <w:tcPr>
            <w:tcW w:w="9576" w:type="dxa"/>
          </w:tcPr>
          <w:p w:rsidR="008423E4" w:rsidRPr="00A8133F" w:rsidRDefault="00D62158" w:rsidP="00C1366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D62158" w:rsidP="00C13660"/>
          <w:p w:rsidR="00E95D31" w:rsidRDefault="00D62158" w:rsidP="00C136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C.S.H.J.R.</w:t>
            </w:r>
            <w:r>
              <w:t xml:space="preserve"> 10 proposes an amendment </w:t>
            </w:r>
            <w:r w:rsidRPr="005C61DB">
              <w:t>to the Texas Constitution to</w:t>
            </w:r>
            <w:r>
              <w:t xml:space="preserve"> establish </w:t>
            </w:r>
            <w:r>
              <w:t xml:space="preserve">the Texas legacy fund </w:t>
            </w:r>
            <w:r>
              <w:t>(TLF)</w:t>
            </w:r>
            <w:r>
              <w:t xml:space="preserve"> and the </w:t>
            </w:r>
            <w:r w:rsidRPr="00041117">
              <w:t>Texas legacy distribution fund</w:t>
            </w:r>
            <w:r>
              <w:t xml:space="preserve"> (TLDF)</w:t>
            </w:r>
            <w:r>
              <w:t xml:space="preserve"> </w:t>
            </w:r>
            <w:r>
              <w:t>as spe</w:t>
            </w:r>
            <w:r>
              <w:t>cial fund</w:t>
            </w:r>
            <w:r>
              <w:t>s</w:t>
            </w:r>
            <w:r>
              <w:t xml:space="preserve"> in the state treasury. The resolution requires</w:t>
            </w:r>
            <w:r>
              <w:t xml:space="preserve"> the comptroller of </w:t>
            </w:r>
            <w:r w:rsidRPr="00ED3A2D">
              <w:t xml:space="preserve">public accounts </w:t>
            </w:r>
            <w:r>
              <w:t>to</w:t>
            </w:r>
            <w:r w:rsidRPr="00ED3A2D">
              <w:t xml:space="preserve"> invest the </w:t>
            </w:r>
            <w:r>
              <w:t>TLF</w:t>
            </w:r>
            <w:r>
              <w:t>, the TLDF,</w:t>
            </w:r>
            <w:r w:rsidRPr="00ED3A2D">
              <w:t xml:space="preserve"> </w:t>
            </w:r>
            <w:r>
              <w:t xml:space="preserve">and </w:t>
            </w:r>
            <w:r w:rsidRPr="00ED3A2D">
              <w:t>the economic stabilization fund</w:t>
            </w:r>
            <w:r>
              <w:t>, also known as the</w:t>
            </w:r>
            <w:r>
              <w:t xml:space="preserve"> rainy day fund,</w:t>
            </w:r>
            <w:r>
              <w:t xml:space="preserve"> </w:t>
            </w:r>
            <w:r w:rsidRPr="00ED3A2D">
              <w:t>as provided by general law</w:t>
            </w:r>
            <w:r>
              <w:t xml:space="preserve"> and </w:t>
            </w:r>
            <w:r w:rsidRPr="00ED3A2D">
              <w:t>to credit to the fund</w:t>
            </w:r>
            <w:r>
              <w:t>s</w:t>
            </w:r>
            <w:r w:rsidRPr="00ED3A2D">
              <w:t xml:space="preserve"> the interest and other earnings attributable to the investment of money in the </w:t>
            </w:r>
            <w:r>
              <w:t xml:space="preserve">respective </w:t>
            </w:r>
            <w:r w:rsidRPr="00ED3A2D">
              <w:t>fund</w:t>
            </w:r>
            <w:r>
              <w:t>s</w:t>
            </w:r>
            <w:r w:rsidRPr="00ED3A2D">
              <w:t xml:space="preserve">, </w:t>
            </w:r>
            <w:r w:rsidRPr="001D6F66">
              <w:t>subject to the applicable constitutional limits</w:t>
            </w:r>
            <w:r w:rsidRPr="001D6F66">
              <w:t xml:space="preserve"> and </w:t>
            </w:r>
            <w:r>
              <w:t xml:space="preserve">transfer </w:t>
            </w:r>
            <w:r w:rsidRPr="001D6F66">
              <w:t>requirements</w:t>
            </w:r>
            <w:r w:rsidRPr="00ED3A2D">
              <w:t>.</w:t>
            </w:r>
            <w:r w:rsidRPr="00ED3A2D">
              <w:t xml:space="preserve"> The expenses of managing the investments of the </w:t>
            </w:r>
            <w:r>
              <w:t>rainy day fund</w:t>
            </w:r>
            <w:r>
              <w:t xml:space="preserve">, </w:t>
            </w:r>
            <w:r>
              <w:t xml:space="preserve">the </w:t>
            </w:r>
            <w:r>
              <w:t xml:space="preserve">TLF, and </w:t>
            </w:r>
            <w:r>
              <w:t xml:space="preserve">the </w:t>
            </w:r>
            <w:r>
              <w:t>TLDF</w:t>
            </w:r>
            <w:r w:rsidRPr="00ED3A2D">
              <w:t xml:space="preserve"> </w:t>
            </w:r>
            <w:r w:rsidRPr="00ED3A2D">
              <w:t>are paid from the</w:t>
            </w:r>
            <w:r>
              <w:t xml:space="preserve"> respective</w:t>
            </w:r>
            <w:r w:rsidRPr="00ED3A2D">
              <w:t xml:space="preserve"> fund</w:t>
            </w:r>
            <w:r>
              <w:t>s</w:t>
            </w:r>
            <w:r w:rsidRPr="00ED3A2D">
              <w:t xml:space="preserve"> without appropriation.</w:t>
            </w:r>
          </w:p>
          <w:p w:rsidR="00E95D31" w:rsidRDefault="00D62158" w:rsidP="00C136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960377" w:rsidRDefault="00D62158" w:rsidP="00C136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C.S.H.J.R.</w:t>
            </w:r>
            <w:r w:rsidRPr="00A206EA">
              <w:t xml:space="preserve"> 10 </w:t>
            </w:r>
            <w:r>
              <w:t xml:space="preserve">requires the legislature by general law to </w:t>
            </w:r>
            <w:r w:rsidRPr="005C61DB">
              <w:t xml:space="preserve">determine a sufficient </w:t>
            </w:r>
            <w:r>
              <w:t xml:space="preserve">rainy day fund </w:t>
            </w:r>
            <w:r w:rsidRPr="005C61DB">
              <w:t>balance</w:t>
            </w:r>
            <w:r>
              <w:t>,</w:t>
            </w:r>
            <w:r w:rsidRPr="005C61DB">
              <w:t xml:space="preserve"> or a m</w:t>
            </w:r>
            <w:r w:rsidRPr="005C61DB">
              <w:t>ethod to determine that sufficient balance</w:t>
            </w:r>
            <w:r>
              <w:t xml:space="preserve">, for purposes </w:t>
            </w:r>
            <w:r>
              <w:t xml:space="preserve">of allocating </w:t>
            </w:r>
            <w:r>
              <w:t xml:space="preserve">certain </w:t>
            </w:r>
            <w:r>
              <w:t>amounts to be transferred</w:t>
            </w:r>
            <w:r>
              <w:t xml:space="preserve"> to the </w:t>
            </w:r>
            <w:r>
              <w:t>rainy day fund</w:t>
            </w:r>
            <w:r>
              <w:t>, the TLF, and the state highway fund</w:t>
            </w:r>
            <w:r w:rsidRPr="005C61DB">
              <w:t>.</w:t>
            </w:r>
            <w:r>
              <w:t xml:space="preserve"> The resolution </w:t>
            </w:r>
            <w:r w:rsidRPr="00E62ECD">
              <w:t xml:space="preserve">revises the requirement </w:t>
            </w:r>
            <w:r>
              <w:t>for</w:t>
            </w:r>
            <w:r w:rsidRPr="00E62ECD">
              <w:t xml:space="preserve"> the comptroller </w:t>
            </w:r>
            <w:r>
              <w:t xml:space="preserve">to </w:t>
            </w:r>
            <w:r w:rsidRPr="00E62ECD">
              <w:t>transfer</w:t>
            </w:r>
            <w:r w:rsidRPr="00E62ECD">
              <w:t xml:space="preserve"> to the </w:t>
            </w:r>
            <w:r>
              <w:t>rainy day fun</w:t>
            </w:r>
            <w:r>
              <w:t>d</w:t>
            </w:r>
            <w:r w:rsidRPr="00E62ECD">
              <w:t>, not later than the 90th day of each biennium, one-half of any unencumbered positive balance of general revenues on the last day of the preceding biennium</w:t>
            </w:r>
            <w:r>
              <w:t xml:space="preserve"> by specifying </w:t>
            </w:r>
            <w:r w:rsidRPr="0040354F">
              <w:t>that th</w:t>
            </w:r>
            <w:r>
              <w:t>e</w:t>
            </w:r>
            <w:r w:rsidRPr="0040354F">
              <w:t xml:space="preserve"> transfer</w:t>
            </w:r>
            <w:r>
              <w:t xml:space="preserve"> come</w:t>
            </w:r>
            <w:r>
              <w:t>s</w:t>
            </w:r>
            <w:r>
              <w:t xml:space="preserve"> from the general revenue fund and by</w:t>
            </w:r>
            <w:r w:rsidRPr="00E62ECD">
              <w:t xml:space="preserve"> </w:t>
            </w:r>
            <w:r>
              <w:t>includ</w:t>
            </w:r>
            <w:r>
              <w:t>ing</w:t>
            </w:r>
            <w:r>
              <w:t xml:space="preserve"> the TLF </w:t>
            </w:r>
            <w:r>
              <w:t>as a</w:t>
            </w:r>
            <w:r>
              <w:t xml:space="preserve"> recipient of </w:t>
            </w:r>
            <w:r>
              <w:t>th</w:t>
            </w:r>
            <w:r>
              <w:t>e</w:t>
            </w:r>
            <w:r>
              <w:t xml:space="preserve"> </w:t>
            </w:r>
            <w:r>
              <w:t>transfer</w:t>
            </w:r>
            <w:r>
              <w:t>.</w:t>
            </w:r>
            <w:r>
              <w:t xml:space="preserve"> </w:t>
            </w:r>
            <w:r>
              <w:t xml:space="preserve">The </w:t>
            </w:r>
            <w:r>
              <w:t>resolution</w:t>
            </w:r>
            <w:r>
              <w:t xml:space="preserve"> requires the comptroller</w:t>
            </w:r>
            <w:r>
              <w:t xml:space="preserve"> to allocate to the TLF the total amount required to be transferred</w:t>
            </w:r>
            <w:r>
              <w:t xml:space="preserve"> if </w:t>
            </w:r>
            <w:r>
              <w:t xml:space="preserve">the unappropriated </w:t>
            </w:r>
            <w:r>
              <w:t xml:space="preserve">rainy day fund </w:t>
            </w:r>
            <w:r>
              <w:t xml:space="preserve">balance </w:t>
            </w:r>
            <w:r>
              <w:t xml:space="preserve">at the time the comptroller makes the transfer </w:t>
            </w:r>
            <w:r w:rsidRPr="00EA051F">
              <w:t>is equal to or greater than t</w:t>
            </w:r>
            <w:r w:rsidRPr="00EA051F">
              <w:t xml:space="preserve">he sufficient </w:t>
            </w:r>
            <w:r>
              <w:t xml:space="preserve">rainy day fund </w:t>
            </w:r>
            <w:r w:rsidRPr="00EA051F">
              <w:t>balance</w:t>
            </w:r>
            <w:r>
              <w:t xml:space="preserve">. </w:t>
            </w:r>
            <w:r>
              <w:t xml:space="preserve">The resolution requires the comptroller, if </w:t>
            </w:r>
            <w:r>
              <w:t xml:space="preserve">the unappropriated </w:t>
            </w:r>
            <w:r>
              <w:t xml:space="preserve">rainy day fund </w:t>
            </w:r>
            <w:r>
              <w:t xml:space="preserve">balance </w:t>
            </w:r>
            <w:r w:rsidRPr="00960377">
              <w:t>at the time the comptroller makes the transfer</w:t>
            </w:r>
            <w:r>
              <w:t xml:space="preserve"> </w:t>
            </w:r>
            <w:r>
              <w:t xml:space="preserve">from </w:t>
            </w:r>
            <w:r>
              <w:t>general revenue</w:t>
            </w:r>
            <w:r>
              <w:t xml:space="preserve"> </w:t>
            </w:r>
            <w:r>
              <w:t xml:space="preserve">is less than the sufficient </w:t>
            </w:r>
            <w:r>
              <w:t xml:space="preserve">rainy </w:t>
            </w:r>
            <w:r>
              <w:t>day fund</w:t>
            </w:r>
            <w:r>
              <w:t xml:space="preserve"> </w:t>
            </w:r>
            <w:r>
              <w:t>balance</w:t>
            </w:r>
            <w:r>
              <w:t xml:space="preserve">, </w:t>
            </w:r>
            <w:r>
              <w:t>to allocate</w:t>
            </w:r>
            <w:r>
              <w:t xml:space="preserve"> </w:t>
            </w:r>
            <w:r>
              <w:t xml:space="preserve">to the </w:t>
            </w:r>
            <w:r>
              <w:t xml:space="preserve">rainy day fund </w:t>
            </w:r>
            <w:r>
              <w:t>an amount equ</w:t>
            </w:r>
            <w:r>
              <w:t xml:space="preserve">al to the lesser of </w:t>
            </w:r>
            <w:r>
              <w:t xml:space="preserve">the amount necessary to make the unappropriated </w:t>
            </w:r>
            <w:r>
              <w:t xml:space="preserve">rainy day fund </w:t>
            </w:r>
            <w:r>
              <w:t xml:space="preserve">balance </w:t>
            </w:r>
            <w:r>
              <w:t xml:space="preserve">equal to the sufficient balance </w:t>
            </w:r>
            <w:r>
              <w:t xml:space="preserve">and the </w:t>
            </w:r>
            <w:r w:rsidRPr="0079223A">
              <w:t xml:space="preserve">total amount </w:t>
            </w:r>
            <w:r>
              <w:t>required to be transferred</w:t>
            </w:r>
            <w:r>
              <w:t xml:space="preserve"> and</w:t>
            </w:r>
            <w:r>
              <w:t xml:space="preserve"> </w:t>
            </w:r>
            <w:r>
              <w:t xml:space="preserve">to </w:t>
            </w:r>
            <w:r>
              <w:t xml:space="preserve">allocate to </w:t>
            </w:r>
            <w:r>
              <w:t xml:space="preserve">the </w:t>
            </w:r>
            <w:r>
              <w:t>TLF</w:t>
            </w:r>
            <w:r>
              <w:t xml:space="preserve"> an amount equal to the </w:t>
            </w:r>
            <w:r>
              <w:t xml:space="preserve">remainder, if any, of </w:t>
            </w:r>
            <w:r w:rsidRPr="001D6F66">
              <w:t>that</w:t>
            </w:r>
            <w:r w:rsidRPr="001D6F66">
              <w:t xml:space="preserve"> total amount</w:t>
            </w:r>
            <w:r>
              <w:t xml:space="preserve"> after making the allocation </w:t>
            </w:r>
            <w:r>
              <w:t xml:space="preserve">to </w:t>
            </w:r>
            <w:r>
              <w:t>ensure a sufficient</w:t>
            </w:r>
            <w:r>
              <w:t xml:space="preserve"> </w:t>
            </w:r>
            <w:r>
              <w:t xml:space="preserve">rainy day fund </w:t>
            </w:r>
            <w:r>
              <w:t>balance</w:t>
            </w:r>
            <w:r>
              <w:t>.</w:t>
            </w:r>
          </w:p>
          <w:p w:rsidR="00C119AA" w:rsidRDefault="00D62158" w:rsidP="00C136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56720E" w:rsidRDefault="00D62158" w:rsidP="00C136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C.S.H.J.R.</w:t>
            </w:r>
            <w:r w:rsidRPr="00A206EA">
              <w:t xml:space="preserve"> 10</w:t>
            </w:r>
            <w:r>
              <w:t xml:space="preserve"> revises the requirement </w:t>
            </w:r>
            <w:r>
              <w:t xml:space="preserve">for </w:t>
            </w:r>
            <w:r>
              <w:t>the comptroller</w:t>
            </w:r>
            <w:r>
              <w:t xml:space="preserve"> </w:t>
            </w:r>
            <w:r>
              <w:t xml:space="preserve">to </w:t>
            </w:r>
            <w:r w:rsidRPr="004A6C56">
              <w:t xml:space="preserve">transfer from the general revenue fund to </w:t>
            </w:r>
            <w:r>
              <w:t xml:space="preserve">the </w:t>
            </w:r>
            <w:r>
              <w:t xml:space="preserve">rainy day fund </w:t>
            </w:r>
            <w:r w:rsidRPr="004A6C56">
              <w:t xml:space="preserve">and the state </w:t>
            </w:r>
            <w:r w:rsidRPr="004A6C56">
              <w:t>highway fund</w:t>
            </w:r>
            <w:r>
              <w:t xml:space="preserve">, not </w:t>
            </w:r>
            <w:r w:rsidRPr="00A206EA">
              <w:t xml:space="preserve">later than the 90th day of each </w:t>
            </w:r>
            <w:r>
              <w:t xml:space="preserve">state </w:t>
            </w:r>
            <w:r w:rsidRPr="00A206EA">
              <w:t>fiscal year,</w:t>
            </w:r>
            <w:r>
              <w:t xml:space="preserve"> </w:t>
            </w:r>
            <w:r w:rsidRPr="004A6C56">
              <w:t>the sum of</w:t>
            </w:r>
            <w:r>
              <w:t xml:space="preserve"> certain </w:t>
            </w:r>
            <w:r>
              <w:t xml:space="preserve">net </w:t>
            </w:r>
            <w:r>
              <w:t>amounts of oil and gas production taxes received by the state</w:t>
            </w:r>
            <w:r>
              <w:t xml:space="preserve"> </w:t>
            </w:r>
            <w:r>
              <w:t xml:space="preserve">in the preceding year </w:t>
            </w:r>
            <w:r>
              <w:t>b</w:t>
            </w:r>
            <w:r>
              <w:t xml:space="preserve">y </w:t>
            </w:r>
            <w:r>
              <w:t xml:space="preserve">including </w:t>
            </w:r>
            <w:r>
              <w:t>the TLF</w:t>
            </w:r>
            <w:r>
              <w:t xml:space="preserve"> </w:t>
            </w:r>
            <w:r>
              <w:t>as a</w:t>
            </w:r>
            <w:r>
              <w:t xml:space="preserve"> recipient of that fund transfer</w:t>
            </w:r>
            <w:r>
              <w:t>.</w:t>
            </w:r>
            <w:r>
              <w:t xml:space="preserve"> The resolution</w:t>
            </w:r>
            <w:r>
              <w:t xml:space="preserve"> replac</w:t>
            </w:r>
            <w:r>
              <w:t xml:space="preserve">es the </w:t>
            </w:r>
            <w:r>
              <w:t xml:space="preserve">rainy day fund </w:t>
            </w:r>
            <w:r>
              <w:t xml:space="preserve">with the TLF </w:t>
            </w:r>
            <w:r>
              <w:t xml:space="preserve">as the </w:t>
            </w:r>
            <w:r>
              <w:t>recipient of</w:t>
            </w:r>
            <w:r>
              <w:t xml:space="preserve"> one-half of </w:t>
            </w:r>
            <w:r>
              <w:t xml:space="preserve">the sum of </w:t>
            </w:r>
            <w:r>
              <w:t xml:space="preserve">those </w:t>
            </w:r>
            <w:r>
              <w:t>oil and gas production tax revenues</w:t>
            </w:r>
            <w:r>
              <w:t>.</w:t>
            </w:r>
            <w:r>
              <w:t xml:space="preserve"> </w:t>
            </w:r>
            <w:r>
              <w:t xml:space="preserve">The resolution revises the requirement </w:t>
            </w:r>
            <w:r>
              <w:t xml:space="preserve">for </w:t>
            </w:r>
            <w:r>
              <w:t xml:space="preserve">the legislature </w:t>
            </w:r>
            <w:r>
              <w:t xml:space="preserve">to </w:t>
            </w:r>
            <w:r>
              <w:t xml:space="preserve">provide for a procedure by which the allocation of the sum of </w:t>
            </w:r>
            <w:r>
              <w:t>those oil a</w:t>
            </w:r>
            <w:r>
              <w:t xml:space="preserve">nd gas production tax revenues </w:t>
            </w:r>
            <w:r>
              <w:t>may be adjusted to provide for a</w:t>
            </w:r>
            <w:r>
              <w:t>n allocation for</w:t>
            </w:r>
            <w:r>
              <w:t xml:space="preserve"> transfer to the </w:t>
            </w:r>
            <w:r>
              <w:t xml:space="preserve">rainy day fund </w:t>
            </w:r>
            <w:r>
              <w:t xml:space="preserve">of an amount greater than one-half of </w:t>
            </w:r>
            <w:r>
              <w:t>the sum of those revenues</w:t>
            </w:r>
            <w:r>
              <w:t xml:space="preserve"> with the remainder of that sum, if any, allocated for transfer to the state highway fund by </w:t>
            </w:r>
            <w:r>
              <w:t xml:space="preserve">changing the amount </w:t>
            </w:r>
            <w:r>
              <w:t xml:space="preserve">of the transfer to the </w:t>
            </w:r>
            <w:r>
              <w:t xml:space="preserve">rainy day fund </w:t>
            </w:r>
            <w:r>
              <w:t xml:space="preserve">for which such an adjustment may be made to </w:t>
            </w:r>
            <w:r>
              <w:t>an amount determined under general law</w:t>
            </w:r>
            <w:r>
              <w:t xml:space="preserve"> and by including</w:t>
            </w:r>
            <w:r>
              <w:t xml:space="preserve"> the T</w:t>
            </w:r>
            <w:r>
              <w:t xml:space="preserve">LF </w:t>
            </w:r>
            <w:r>
              <w:t>among the recipients of the transfer of any remaining amount</w:t>
            </w:r>
            <w:r>
              <w:t>.</w:t>
            </w:r>
            <w:r>
              <w:t xml:space="preserve"> The resolution </w:t>
            </w:r>
            <w:r>
              <w:t xml:space="preserve">changes </w:t>
            </w:r>
            <w:r>
              <w:t xml:space="preserve">the fund to which </w:t>
            </w:r>
            <w:r>
              <w:t xml:space="preserve">the comptroller is required to credit interest due to the </w:t>
            </w:r>
            <w:r>
              <w:t xml:space="preserve">rainy day fund </w:t>
            </w:r>
            <w:r>
              <w:t xml:space="preserve">that would result in an amount in the </w:t>
            </w:r>
            <w:r>
              <w:t xml:space="preserve">rainy day fund </w:t>
            </w:r>
            <w:r>
              <w:t>that exceeds the constit</w:t>
            </w:r>
            <w:r>
              <w:t>utional l</w:t>
            </w:r>
            <w:r>
              <w:t>imit</w:t>
            </w:r>
            <w:r>
              <w:t xml:space="preserve"> from </w:t>
            </w:r>
            <w:r>
              <w:t xml:space="preserve">the </w:t>
            </w:r>
            <w:r>
              <w:t>general revenue</w:t>
            </w:r>
            <w:r>
              <w:t xml:space="preserve"> fund</w:t>
            </w:r>
            <w:r>
              <w:t xml:space="preserve"> to the TLF</w:t>
            </w:r>
            <w:r>
              <w:t>.</w:t>
            </w:r>
          </w:p>
          <w:p w:rsidR="00332E7F" w:rsidRDefault="00D62158" w:rsidP="00C136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B20195" w:rsidRDefault="00D62158" w:rsidP="00C136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C.S.H.J.R.</w:t>
            </w:r>
            <w:r w:rsidRPr="00B81D40">
              <w:t xml:space="preserve"> 10 </w:t>
            </w:r>
            <w:r>
              <w:t xml:space="preserve">requires the comptroller, each fiscal year, to </w:t>
            </w:r>
            <w:r w:rsidRPr="00041117">
              <w:t xml:space="preserve">transfer a portion of the accumulated interest and other earnings credited to the </w:t>
            </w:r>
            <w:r>
              <w:t>TLF</w:t>
            </w:r>
            <w:r w:rsidRPr="00041117">
              <w:t xml:space="preserve"> from the </w:t>
            </w:r>
            <w:r>
              <w:t>TLF</w:t>
            </w:r>
            <w:r w:rsidRPr="00041117">
              <w:t xml:space="preserve"> to the </w:t>
            </w:r>
            <w:r>
              <w:t xml:space="preserve">TLDF. The resolution requires </w:t>
            </w:r>
            <w:r w:rsidRPr="00F82964">
              <w:t>th</w:t>
            </w:r>
            <w:r w:rsidRPr="00F82964">
              <w:t>e comptroller</w:t>
            </w:r>
            <w:r>
              <w:t>, i</w:t>
            </w:r>
            <w:r w:rsidRPr="00F82964">
              <w:t xml:space="preserve">n making a transfer, </w:t>
            </w:r>
            <w:r>
              <w:t>to</w:t>
            </w:r>
            <w:r w:rsidRPr="00F82964">
              <w:t xml:space="preserve"> determine the amount of the transfer in a manner to provide a stable and predictable stream of annual transfers while preserving over time the purchasing power of the principal amount of the </w:t>
            </w:r>
            <w:r>
              <w:t>TLF. The resolution autho</w:t>
            </w:r>
            <w:r>
              <w:t>rizes the comptroller, i</w:t>
            </w:r>
            <w:r w:rsidRPr="00F82964">
              <w:t xml:space="preserve">f the comptroller determines that the purchasing power of the principal amount of the </w:t>
            </w:r>
            <w:r>
              <w:t xml:space="preserve">TLF </w:t>
            </w:r>
            <w:r w:rsidRPr="00F82964">
              <w:t xml:space="preserve">has diminished when computed for any 10-year period, </w:t>
            </w:r>
            <w:r>
              <w:t>to</w:t>
            </w:r>
            <w:r w:rsidRPr="00F82964">
              <w:t xml:space="preserve"> reduce the amount of the annual transfers from the </w:t>
            </w:r>
            <w:r>
              <w:t>TLF</w:t>
            </w:r>
            <w:r w:rsidRPr="00F82964">
              <w:t xml:space="preserve"> to the </w:t>
            </w:r>
            <w:r>
              <w:t>TLDF</w:t>
            </w:r>
            <w:r w:rsidRPr="00F82964">
              <w:t xml:space="preserve"> and </w:t>
            </w:r>
            <w:r>
              <w:t xml:space="preserve">to </w:t>
            </w:r>
            <w:r w:rsidRPr="00F82964">
              <w:t>retain a gre</w:t>
            </w:r>
            <w:r w:rsidRPr="00F82964">
              <w:t xml:space="preserve">ater portion of the interest and earnings on the principal in the </w:t>
            </w:r>
            <w:r>
              <w:t>TLF</w:t>
            </w:r>
            <w:r w:rsidRPr="00F82964">
              <w:t xml:space="preserve"> so that the purchasing power of th</w:t>
            </w:r>
            <w:r>
              <w:t>e</w:t>
            </w:r>
            <w:r w:rsidRPr="00F82964">
              <w:t xml:space="preserve"> </w:t>
            </w:r>
            <w:r>
              <w:t>TLF</w:t>
            </w:r>
            <w:r w:rsidRPr="00F82964">
              <w:t>'s principal is restored.</w:t>
            </w:r>
          </w:p>
          <w:p w:rsidR="00D3549E" w:rsidRDefault="00D62158" w:rsidP="00C136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AE27BF" w:rsidRDefault="00D62158" w:rsidP="00C136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C.S.H.J.R.</w:t>
            </w:r>
            <w:r w:rsidRPr="00FD0717">
              <w:t xml:space="preserve"> 10 </w:t>
            </w:r>
            <w:r>
              <w:t xml:space="preserve">authorizes the legislature to </w:t>
            </w:r>
            <w:r w:rsidRPr="00DB2305">
              <w:t xml:space="preserve">appropriate money to the </w:t>
            </w:r>
            <w:r>
              <w:t>TLF</w:t>
            </w:r>
            <w:r w:rsidRPr="00DB2305">
              <w:t xml:space="preserve"> </w:t>
            </w:r>
            <w:r>
              <w:t xml:space="preserve">and the TLDF in addition to money transferred </w:t>
            </w:r>
            <w:r>
              <w:t xml:space="preserve">to the respective funds </w:t>
            </w:r>
            <w:r>
              <w:t xml:space="preserve">under </w:t>
            </w:r>
            <w:r>
              <w:t>the resolution's provisions</w:t>
            </w:r>
            <w:r>
              <w:t>.</w:t>
            </w:r>
            <w:r>
              <w:t xml:space="preserve"> </w:t>
            </w:r>
            <w:r>
              <w:t>The</w:t>
            </w:r>
            <w:r>
              <w:t xml:space="preserve"> </w:t>
            </w:r>
            <w:r>
              <w:t>resolution</w:t>
            </w:r>
            <w:r>
              <w:t xml:space="preserve"> </w:t>
            </w:r>
            <w:r>
              <w:t>prohibits the legislature from appropriating money from the TLF</w:t>
            </w:r>
            <w:r>
              <w:t xml:space="preserve"> and limits the purposes for which</w:t>
            </w:r>
            <w:r w:rsidRPr="00B20195">
              <w:t xml:space="preserve"> the legislature </w:t>
            </w:r>
            <w:r>
              <w:t>may</w:t>
            </w:r>
            <w:r w:rsidRPr="00B20195">
              <w:t xml:space="preserve"> appropriate money from the TLDF to pay</w:t>
            </w:r>
            <w:r>
              <w:t>ing</w:t>
            </w:r>
            <w:r w:rsidRPr="00B20195">
              <w:t xml:space="preserve"> for</w:t>
            </w:r>
            <w:r>
              <w:t xml:space="preserve"> the following:</w:t>
            </w:r>
          </w:p>
          <w:p w:rsidR="00AE27BF" w:rsidRDefault="00D62158" w:rsidP="00C1366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 w:rsidRPr="00AE27BF">
              <w:t>red</w:t>
            </w:r>
            <w:r w:rsidRPr="00AE27BF">
              <w:t xml:space="preserve">emption or defeasance in advance of scheduled maturity of </w:t>
            </w:r>
            <w:r>
              <w:t xml:space="preserve">state debt obligations that depend on </w:t>
            </w:r>
            <w:r w:rsidRPr="001D6F66">
              <w:t>general revenue</w:t>
            </w:r>
            <w:r>
              <w:t xml:space="preserve"> for debt service;</w:t>
            </w:r>
          </w:p>
          <w:p w:rsidR="00AE27BF" w:rsidRDefault="00D62158" w:rsidP="00C1366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 xml:space="preserve">unfunded actuarial liabilities of the Employees Retirement System of Texas </w:t>
            </w:r>
            <w:r>
              <w:t xml:space="preserve">(ERS) </w:t>
            </w:r>
            <w:r>
              <w:t>or the Teacher Retirement System of Texas</w:t>
            </w:r>
            <w:r>
              <w:t xml:space="preserve"> (TR</w:t>
            </w:r>
            <w:r>
              <w:t>S)</w:t>
            </w:r>
            <w:r>
              <w:t xml:space="preserve">, notwithstanding the constitutional limitation on </w:t>
            </w:r>
            <w:r>
              <w:t xml:space="preserve">state </w:t>
            </w:r>
            <w:r>
              <w:t>contributions</w:t>
            </w:r>
            <w:r>
              <w:t xml:space="preserve"> to those systems</w:t>
            </w:r>
            <w:r>
              <w:t>;</w:t>
            </w:r>
          </w:p>
          <w:p w:rsidR="00AE27BF" w:rsidRDefault="00D62158" w:rsidP="00C1366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projects to repair, renovate, rehabilitate, or construct state infrastructure other than transportation infrastructure and higher education facilities; or</w:t>
            </w:r>
          </w:p>
          <w:p w:rsidR="00AE27BF" w:rsidRDefault="00D62158" w:rsidP="00C1366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 xml:space="preserve">other state obligations that are recognized as long-term obligations according to generally accepted accounting principles and </w:t>
            </w:r>
            <w:r>
              <w:t xml:space="preserve">that are </w:t>
            </w:r>
            <w:r>
              <w:t>approved by the legislature by general law, by a vote of two-thirds of the members present in each house</w:t>
            </w:r>
            <w:r>
              <w:t>, to be paid for</w:t>
            </w:r>
            <w:r>
              <w:t xml:space="preserve"> </w:t>
            </w:r>
            <w:r>
              <w:t>from appropriations made from the TLDF</w:t>
            </w:r>
            <w:r>
              <w:t>.</w:t>
            </w:r>
          </w:p>
          <w:p w:rsidR="00A04B59" w:rsidRDefault="00D62158" w:rsidP="00C13660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 xml:space="preserve">The resolution excludes </w:t>
            </w:r>
            <w:r w:rsidRPr="00A04B59">
              <w:t>an appropriation of money from the TLDF</w:t>
            </w:r>
            <w:r>
              <w:t xml:space="preserve"> for </w:t>
            </w:r>
            <w:r>
              <w:t>paying for the</w:t>
            </w:r>
            <w:r>
              <w:t xml:space="preserve"> unfunded actuarial liabilities of ERS or TRS</w:t>
            </w:r>
            <w:r>
              <w:t xml:space="preserve">, </w:t>
            </w:r>
            <w:r w:rsidRPr="00A04B59">
              <w:t>regardless of the source of the revenues appropriated</w:t>
            </w:r>
            <w:r>
              <w:t xml:space="preserve">, </w:t>
            </w:r>
            <w:r w:rsidRPr="00D26722">
              <w:t xml:space="preserve">from the </w:t>
            </w:r>
            <w:r w:rsidRPr="00D26722">
              <w:t xml:space="preserve">calculation </w:t>
            </w:r>
            <w:r w:rsidRPr="00D26722">
              <w:t xml:space="preserve">of </w:t>
            </w:r>
            <w:r w:rsidRPr="00D26722">
              <w:t>the rat</w:t>
            </w:r>
            <w:r w:rsidRPr="00D26722">
              <w:t>e of growth of appropriations</w:t>
            </w:r>
            <w:r w:rsidRPr="00D26722">
              <w:t xml:space="preserve"> from state tax revenues not dedicated by the constitution</w:t>
            </w:r>
            <w:r w:rsidRPr="00D26722">
              <w:t>.</w:t>
            </w:r>
          </w:p>
          <w:p w:rsidR="00A04B59" w:rsidRDefault="00D62158" w:rsidP="00C136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E95D31" w:rsidRDefault="00D62158" w:rsidP="00C136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C.S.H.J.R.</w:t>
            </w:r>
            <w:r w:rsidRPr="00B550A4">
              <w:t xml:space="preserve"> 10 </w:t>
            </w:r>
            <w:r>
              <w:t xml:space="preserve">adds </w:t>
            </w:r>
            <w:r>
              <w:t xml:space="preserve">a temporary provision </w:t>
            </w:r>
            <w:r>
              <w:t>set to expire January 1, 2021, making the resolution's provisions effective January 1, 2020</w:t>
            </w:r>
            <w:r>
              <w:t xml:space="preserve">; </w:t>
            </w:r>
            <w:r>
              <w:t xml:space="preserve">requiring the comptroller, </w:t>
            </w:r>
            <w:r>
              <w:t xml:space="preserve">as soon as practicable </w:t>
            </w:r>
            <w:r>
              <w:t xml:space="preserve">after </w:t>
            </w:r>
            <w:r>
              <w:t>January 1, 2020</w:t>
            </w:r>
            <w:r>
              <w:t>,</w:t>
            </w:r>
            <w:r>
              <w:t xml:space="preserve"> to establish the TLF and the TLDF</w:t>
            </w:r>
            <w:r>
              <w:t xml:space="preserve"> and to invest the </w:t>
            </w:r>
            <w:r>
              <w:t>rainy day fund</w:t>
            </w:r>
            <w:r>
              <w:t>, the TLF, and the TLDF as provided by general law;</w:t>
            </w:r>
            <w:r>
              <w:t xml:space="preserve"> </w:t>
            </w:r>
            <w:r>
              <w:t>and</w:t>
            </w:r>
            <w:r>
              <w:t xml:space="preserve"> </w:t>
            </w:r>
            <w:r>
              <w:t xml:space="preserve">requiring the comptroller </w:t>
            </w:r>
            <w:r>
              <w:t xml:space="preserve">to transfer from the </w:t>
            </w:r>
            <w:r>
              <w:t xml:space="preserve">rainy day fund </w:t>
            </w:r>
            <w:r w:rsidRPr="008513D0">
              <w:t>the amount of $</w:t>
            </w:r>
            <w:r>
              <w:t>500 million</w:t>
            </w:r>
            <w:r w:rsidRPr="008513D0">
              <w:t xml:space="preserve"> as the principal balance of the</w:t>
            </w:r>
            <w:r>
              <w:t xml:space="preserve"> TLF</w:t>
            </w:r>
            <w:r>
              <w:t>.</w:t>
            </w:r>
          </w:p>
          <w:p w:rsidR="00801281" w:rsidRPr="00835628" w:rsidRDefault="00D62158" w:rsidP="00C1366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43487B" w:rsidTr="00345119">
        <w:tc>
          <w:tcPr>
            <w:tcW w:w="9576" w:type="dxa"/>
          </w:tcPr>
          <w:p w:rsidR="008423E4" w:rsidRPr="00A8133F" w:rsidRDefault="00D62158" w:rsidP="00C13660">
            <w:pPr>
              <w:rPr>
                <w:b/>
              </w:rPr>
            </w:pPr>
            <w:r>
              <w:rPr>
                <w:b/>
                <w:u w:val="single"/>
              </w:rPr>
              <w:t>ELECTION DATE</w:t>
            </w:r>
            <w:r>
              <w:rPr>
                <w:b/>
              </w:rPr>
              <w:t xml:space="preserve"> </w:t>
            </w:r>
          </w:p>
          <w:p w:rsidR="008423E4" w:rsidRDefault="00D62158" w:rsidP="00C13660"/>
          <w:p w:rsidR="008423E4" w:rsidRPr="003624F2" w:rsidRDefault="00D62158" w:rsidP="00C136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constitutional amendment proposed by this joint resolution will be submitted to the voters at an election to be held November 5, 2019.</w:t>
            </w:r>
          </w:p>
          <w:p w:rsidR="008423E4" w:rsidRPr="00233FDB" w:rsidRDefault="00D62158" w:rsidP="00C13660">
            <w:pPr>
              <w:rPr>
                <w:b/>
              </w:rPr>
            </w:pPr>
          </w:p>
        </w:tc>
      </w:tr>
      <w:tr w:rsidR="0043487B" w:rsidTr="00345119">
        <w:tc>
          <w:tcPr>
            <w:tcW w:w="9576" w:type="dxa"/>
          </w:tcPr>
          <w:p w:rsidR="009928CE" w:rsidRDefault="00D62158" w:rsidP="00C1366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993CFC" w:rsidRDefault="00D62158" w:rsidP="00C13660">
            <w:pPr>
              <w:jc w:val="both"/>
            </w:pPr>
          </w:p>
          <w:p w:rsidR="00993CFC" w:rsidRDefault="00D62158" w:rsidP="00C13660">
            <w:pPr>
              <w:jc w:val="both"/>
            </w:pPr>
            <w:r>
              <w:t xml:space="preserve">While </w:t>
            </w:r>
            <w:r w:rsidRPr="00993CFC">
              <w:t>C.S.H.J.R. 10</w:t>
            </w:r>
            <w:r>
              <w:t xml:space="preserve"> may differ from the original in minor or nonsubstantive ways, the following summarizes the substantial differences between the introduced and committee substitute versions of the </w:t>
            </w:r>
            <w:r>
              <w:t>resolution</w:t>
            </w:r>
            <w:r>
              <w:t>.</w:t>
            </w:r>
          </w:p>
          <w:p w:rsidR="00993CFC" w:rsidRDefault="00D62158" w:rsidP="00C13660">
            <w:pPr>
              <w:jc w:val="both"/>
            </w:pPr>
          </w:p>
          <w:p w:rsidR="004E1DB8" w:rsidRDefault="00D62158" w:rsidP="00C13660">
            <w:pPr>
              <w:jc w:val="both"/>
            </w:pPr>
            <w:r>
              <w:t xml:space="preserve">The substitute </w:t>
            </w:r>
            <w:r>
              <w:t xml:space="preserve">revises the authorization for </w:t>
            </w:r>
            <w:r>
              <w:t>the legislature</w:t>
            </w:r>
            <w:r>
              <w:t xml:space="preserve"> to</w:t>
            </w:r>
            <w:r>
              <w:t xml:space="preserve"> appropriate money</w:t>
            </w:r>
            <w:r>
              <w:t xml:space="preserve"> from the TLDF to pay for state debt service obligations that depend on general revenue for debt service to </w:t>
            </w:r>
            <w:r>
              <w:t xml:space="preserve">require such an appropriation to </w:t>
            </w:r>
            <w:r>
              <w:t xml:space="preserve">pay for redemption or defeasance in advance of scheduled maturity of </w:t>
            </w:r>
            <w:r>
              <w:t xml:space="preserve">such </w:t>
            </w:r>
            <w:r>
              <w:t>state debt obligations.</w:t>
            </w:r>
          </w:p>
          <w:p w:rsidR="004E1DB8" w:rsidRDefault="00D62158" w:rsidP="00C13660">
            <w:pPr>
              <w:jc w:val="both"/>
            </w:pPr>
          </w:p>
          <w:p w:rsidR="004E1DB8" w:rsidRDefault="00D62158" w:rsidP="00C13660">
            <w:pPr>
              <w:jc w:val="both"/>
            </w:pPr>
            <w:r>
              <w:t xml:space="preserve">The substitute </w:t>
            </w:r>
            <w:r>
              <w:t>limits the applicability of the provision</w:t>
            </w:r>
            <w:r>
              <w:t xml:space="preserve"> exclu</w:t>
            </w:r>
            <w:r>
              <w:t>ding</w:t>
            </w:r>
            <w:r>
              <w:t xml:space="preserve"> appropriations from the TLDF </w:t>
            </w:r>
            <w:r w:rsidRPr="000632EA">
              <w:t xml:space="preserve">from the calculation of the rate of growth of appropriations from state tax revenues not dedicated by the constitution </w:t>
            </w:r>
            <w:r>
              <w:t>to appropriations from the TLDF to pay</w:t>
            </w:r>
            <w:r>
              <w:t xml:space="preserve"> for the unfunded actuarial liabilities of ERS or TRS.</w:t>
            </w:r>
          </w:p>
          <w:p w:rsidR="004E1DB8" w:rsidRDefault="00D62158" w:rsidP="00C13660">
            <w:pPr>
              <w:jc w:val="both"/>
            </w:pPr>
          </w:p>
          <w:p w:rsidR="004E1DB8" w:rsidRDefault="00D62158" w:rsidP="00C13660">
            <w:pPr>
              <w:jc w:val="both"/>
            </w:pPr>
            <w:r>
              <w:t xml:space="preserve">The substitute </w:t>
            </w:r>
            <w:r>
              <w:t xml:space="preserve">reduces </w:t>
            </w:r>
            <w:r w:rsidRPr="004E1DB8">
              <w:t xml:space="preserve">the </w:t>
            </w:r>
            <w:r>
              <w:t xml:space="preserve">amount transferred from the rainy day fund as the </w:t>
            </w:r>
            <w:r w:rsidRPr="004E1DB8">
              <w:t xml:space="preserve">principal balance of the TLF </w:t>
            </w:r>
            <w:r>
              <w:t>from $3.5 billion to $500 million.</w:t>
            </w:r>
          </w:p>
          <w:p w:rsidR="00993CFC" w:rsidRPr="00993CFC" w:rsidRDefault="00D62158" w:rsidP="00C13660">
            <w:pPr>
              <w:jc w:val="both"/>
            </w:pPr>
          </w:p>
        </w:tc>
      </w:tr>
      <w:tr w:rsidR="0043487B" w:rsidTr="00345119">
        <w:tc>
          <w:tcPr>
            <w:tcW w:w="9576" w:type="dxa"/>
          </w:tcPr>
          <w:p w:rsidR="009928CE" w:rsidRDefault="00D62158" w:rsidP="00C13660">
            <w:pPr>
              <w:rPr>
                <w:b/>
                <w:u w:val="single"/>
              </w:rPr>
            </w:pPr>
          </w:p>
        </w:tc>
      </w:tr>
      <w:tr w:rsidR="0043487B" w:rsidTr="00345119">
        <w:tc>
          <w:tcPr>
            <w:tcW w:w="9576" w:type="dxa"/>
          </w:tcPr>
          <w:p w:rsidR="009928CE" w:rsidRPr="009928CE" w:rsidRDefault="00D62158" w:rsidP="00C13660">
            <w:pPr>
              <w:jc w:val="both"/>
            </w:pPr>
          </w:p>
        </w:tc>
      </w:tr>
    </w:tbl>
    <w:p w:rsidR="008423E4" w:rsidRPr="00BE0E75" w:rsidRDefault="00D62158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D62158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62158">
      <w:r>
        <w:separator/>
      </w:r>
    </w:p>
  </w:endnote>
  <w:endnote w:type="continuationSeparator" w:id="0">
    <w:p w:rsidR="00000000" w:rsidRDefault="00D6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ACF" w:rsidRDefault="00D62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3487B" w:rsidTr="009C1E9A">
      <w:trPr>
        <w:cantSplit/>
      </w:trPr>
      <w:tc>
        <w:tcPr>
          <w:tcW w:w="0" w:type="pct"/>
        </w:tcPr>
        <w:p w:rsidR="00137D90" w:rsidRDefault="00D6215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D6215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D6215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D6215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D6215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3487B" w:rsidTr="009C1E9A">
      <w:trPr>
        <w:cantSplit/>
      </w:trPr>
      <w:tc>
        <w:tcPr>
          <w:tcW w:w="0" w:type="pct"/>
        </w:tcPr>
        <w:p w:rsidR="00EC379B" w:rsidRDefault="00D6215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D6215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26384</w:t>
          </w:r>
        </w:p>
      </w:tc>
      <w:tc>
        <w:tcPr>
          <w:tcW w:w="2453" w:type="pct"/>
        </w:tcPr>
        <w:p w:rsidR="00EC379B" w:rsidRDefault="00D6215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19.101.397</w:t>
          </w:r>
          <w:r>
            <w:fldChar w:fldCharType="end"/>
          </w:r>
        </w:p>
      </w:tc>
    </w:tr>
    <w:tr w:rsidR="0043487B" w:rsidTr="009C1E9A">
      <w:trPr>
        <w:cantSplit/>
      </w:trPr>
      <w:tc>
        <w:tcPr>
          <w:tcW w:w="0" w:type="pct"/>
        </w:tcPr>
        <w:p w:rsidR="00EC379B" w:rsidRDefault="00D6215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D6215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25659</w:t>
          </w:r>
        </w:p>
      </w:tc>
      <w:tc>
        <w:tcPr>
          <w:tcW w:w="2453" w:type="pct"/>
        </w:tcPr>
        <w:p w:rsidR="00EC379B" w:rsidRDefault="00D62158" w:rsidP="006D504F">
          <w:pPr>
            <w:pStyle w:val="Footer"/>
            <w:rPr>
              <w:rStyle w:val="PageNumber"/>
            </w:rPr>
          </w:pPr>
        </w:p>
        <w:p w:rsidR="00EC379B" w:rsidRDefault="00D6215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3487B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D6215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  <w:p w:rsidR="00EC379B" w:rsidRDefault="00D62158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D62158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ACF" w:rsidRDefault="00D62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62158">
      <w:r>
        <w:separator/>
      </w:r>
    </w:p>
  </w:footnote>
  <w:footnote w:type="continuationSeparator" w:id="0">
    <w:p w:rsidR="00000000" w:rsidRDefault="00D62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ACF" w:rsidRDefault="00D62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ACF" w:rsidRDefault="00D62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ACF" w:rsidRDefault="00D62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244C"/>
    <w:multiLevelType w:val="hybridMultilevel"/>
    <w:tmpl w:val="828EE202"/>
    <w:lvl w:ilvl="0" w:tplc="0192A94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47E79E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7AA90D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0B864A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89695F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5DABA8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208369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81E24F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7F474C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7B"/>
    <w:rsid w:val="0043487B"/>
    <w:rsid w:val="00D6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3E39ED-B743-45AA-A04A-EC8A8F55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D55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5D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55D3"/>
    <w:rPr>
      <w:b/>
      <w:bCs/>
    </w:rPr>
  </w:style>
  <w:style w:type="character" w:styleId="Hyperlink">
    <w:name w:val="Hyperlink"/>
    <w:basedOn w:val="DefaultParagraphFont"/>
    <w:unhideWhenUsed/>
    <w:rsid w:val="003C6A6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D64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1469</Words>
  <Characters>7604</Characters>
  <Application>Microsoft Office Word</Application>
  <DocSecurity>4</DocSecurity>
  <Lines>144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HJR00010 (Committee Report (Substituted))</vt:lpstr>
    </vt:vector>
  </TitlesOfParts>
  <Company>State of Texas</Company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26384</dc:subject>
  <dc:creator>State of Texas</dc:creator>
  <dc:description>HJR 10 by Capriglione-(H)Appropriations (Substitute Document Number: 86R 25659)</dc:description>
  <cp:lastModifiedBy>Stacey Nicchio</cp:lastModifiedBy>
  <cp:revision>2</cp:revision>
  <cp:lastPrinted>2019-02-06T17:33:00Z</cp:lastPrinted>
  <dcterms:created xsi:type="dcterms:W3CDTF">2019-04-15T22:44:00Z</dcterms:created>
  <dcterms:modified xsi:type="dcterms:W3CDTF">2019-04-15T22:44:00Z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19.101.397</vt:lpwstr>
  </property>
</Properties>
</file>