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D20E4" w:rsidTr="00345119">
        <w:tc>
          <w:tcPr>
            <w:tcW w:w="9576" w:type="dxa"/>
            <w:noWrap/>
          </w:tcPr>
          <w:p w:rsidR="008423E4" w:rsidRPr="0022177D" w:rsidRDefault="0017503A" w:rsidP="00345119">
            <w:pPr>
              <w:pStyle w:val="Heading1"/>
            </w:pPr>
            <w:bookmarkStart w:id="0" w:name="_GoBack"/>
            <w:bookmarkEnd w:id="0"/>
            <w:r>
              <w:t>RESOLUTION ANALYSIS</w:t>
            </w:r>
          </w:p>
        </w:tc>
      </w:tr>
    </w:tbl>
    <w:p w:rsidR="008423E4" w:rsidRPr="0022177D" w:rsidRDefault="0017503A" w:rsidP="008423E4">
      <w:pPr>
        <w:jc w:val="center"/>
      </w:pPr>
    </w:p>
    <w:p w:rsidR="008423E4" w:rsidRPr="00B31F0E" w:rsidRDefault="0017503A" w:rsidP="008423E4"/>
    <w:p w:rsidR="008423E4" w:rsidRPr="00742794" w:rsidRDefault="0017503A" w:rsidP="008423E4">
      <w:pPr>
        <w:tabs>
          <w:tab w:val="right" w:pos="9360"/>
        </w:tabs>
      </w:pPr>
    </w:p>
    <w:tbl>
      <w:tblPr>
        <w:tblW w:w="0" w:type="auto"/>
        <w:tblLayout w:type="fixed"/>
        <w:tblLook w:val="01E0" w:firstRow="1" w:lastRow="1" w:firstColumn="1" w:lastColumn="1" w:noHBand="0" w:noVBand="0"/>
      </w:tblPr>
      <w:tblGrid>
        <w:gridCol w:w="9576"/>
      </w:tblGrid>
      <w:tr w:rsidR="00CD20E4" w:rsidTr="00345119">
        <w:tc>
          <w:tcPr>
            <w:tcW w:w="9576" w:type="dxa"/>
          </w:tcPr>
          <w:p w:rsidR="008423E4" w:rsidRPr="00861995" w:rsidRDefault="0017503A" w:rsidP="00BC1D6A">
            <w:pPr>
              <w:jc w:val="right"/>
            </w:pPr>
            <w:r>
              <w:t>C.S.H.J.R. 82</w:t>
            </w:r>
          </w:p>
        </w:tc>
      </w:tr>
      <w:tr w:rsidR="00CD20E4" w:rsidTr="00345119">
        <w:tc>
          <w:tcPr>
            <w:tcW w:w="9576" w:type="dxa"/>
          </w:tcPr>
          <w:p w:rsidR="008423E4" w:rsidRPr="00861995" w:rsidRDefault="0017503A" w:rsidP="003D291A">
            <w:pPr>
              <w:jc w:val="right"/>
            </w:pPr>
            <w:r>
              <w:t xml:space="preserve">By: </w:t>
            </w:r>
            <w:r>
              <w:t>Craddick</w:t>
            </w:r>
          </w:p>
        </w:tc>
      </w:tr>
      <w:tr w:rsidR="00CD20E4" w:rsidTr="00345119">
        <w:tc>
          <w:tcPr>
            <w:tcW w:w="9576" w:type="dxa"/>
          </w:tcPr>
          <w:p w:rsidR="008423E4" w:rsidRPr="00861995" w:rsidRDefault="0017503A" w:rsidP="00345119">
            <w:pPr>
              <w:jc w:val="right"/>
            </w:pPr>
            <w:r>
              <w:t>Appropriations</w:t>
            </w:r>
          </w:p>
        </w:tc>
      </w:tr>
      <w:tr w:rsidR="00CD20E4" w:rsidTr="00345119">
        <w:tc>
          <w:tcPr>
            <w:tcW w:w="9576" w:type="dxa"/>
          </w:tcPr>
          <w:p w:rsidR="008423E4" w:rsidRDefault="0017503A" w:rsidP="00345119">
            <w:pPr>
              <w:jc w:val="right"/>
            </w:pPr>
            <w:r>
              <w:t>Committee Report (Substituted)</w:t>
            </w:r>
          </w:p>
        </w:tc>
      </w:tr>
    </w:tbl>
    <w:p w:rsidR="008423E4" w:rsidRDefault="0017503A" w:rsidP="008423E4">
      <w:pPr>
        <w:tabs>
          <w:tab w:val="right" w:pos="9360"/>
        </w:tabs>
      </w:pPr>
    </w:p>
    <w:p w:rsidR="008423E4" w:rsidRDefault="0017503A" w:rsidP="008423E4"/>
    <w:p w:rsidR="008423E4" w:rsidRDefault="0017503A" w:rsidP="008423E4"/>
    <w:tbl>
      <w:tblPr>
        <w:tblW w:w="0" w:type="auto"/>
        <w:tblCellMar>
          <w:left w:w="115" w:type="dxa"/>
          <w:right w:w="115" w:type="dxa"/>
        </w:tblCellMar>
        <w:tblLook w:val="01E0" w:firstRow="1" w:lastRow="1" w:firstColumn="1" w:lastColumn="1" w:noHBand="0" w:noVBand="0"/>
      </w:tblPr>
      <w:tblGrid>
        <w:gridCol w:w="9576"/>
      </w:tblGrid>
      <w:tr w:rsidR="00CD20E4" w:rsidTr="00345119">
        <w:tc>
          <w:tcPr>
            <w:tcW w:w="9576" w:type="dxa"/>
          </w:tcPr>
          <w:p w:rsidR="008423E4" w:rsidRPr="00A8133F" w:rsidRDefault="0017503A" w:rsidP="00931141">
            <w:pPr>
              <w:rPr>
                <w:b/>
              </w:rPr>
            </w:pPr>
            <w:r w:rsidRPr="009C1E9A">
              <w:rPr>
                <w:b/>
                <w:u w:val="single"/>
              </w:rPr>
              <w:t>BACKGROUND AND PURPOSE</w:t>
            </w:r>
            <w:r>
              <w:rPr>
                <w:b/>
              </w:rPr>
              <w:t xml:space="preserve"> </w:t>
            </w:r>
          </w:p>
          <w:p w:rsidR="008423E4" w:rsidRDefault="0017503A" w:rsidP="00931141"/>
          <w:p w:rsidR="008423E4" w:rsidRDefault="0017503A" w:rsidP="00931141">
            <w:pPr>
              <w:pStyle w:val="Header"/>
              <w:jc w:val="both"/>
            </w:pPr>
            <w:r>
              <w:t xml:space="preserve">Due to extraordinary growth in oil and gas tax collections since 2006, the </w:t>
            </w:r>
            <w:r>
              <w:t>e</w:t>
            </w:r>
            <w:r>
              <w:t xml:space="preserve">conomic </w:t>
            </w:r>
            <w:r>
              <w:t>s</w:t>
            </w:r>
            <w:r>
              <w:t xml:space="preserve">tabilization </w:t>
            </w:r>
            <w:r>
              <w:t>f</w:t>
            </w:r>
            <w:r>
              <w:t xml:space="preserve">und </w:t>
            </w:r>
            <w:r>
              <w:t>is</w:t>
            </w:r>
            <w:r>
              <w:t xml:space="preserve"> projected to reach</w:t>
            </w:r>
            <w:r>
              <w:t xml:space="preserve"> a record high balance of approximately</w:t>
            </w:r>
            <w:r>
              <w:t xml:space="preserve"> $15 billion </w:t>
            </w:r>
            <w:r>
              <w:t xml:space="preserve">at </w:t>
            </w:r>
            <w:r>
              <w:t>the end of the 2020-21 biennium.</w:t>
            </w:r>
            <w:r>
              <w:t xml:space="preserve"> </w:t>
            </w:r>
            <w:r>
              <w:t xml:space="preserve">However, </w:t>
            </w:r>
            <w:r>
              <w:t>i</w:t>
            </w:r>
            <w:r>
              <w:t>t has been noted that in recent years the regions of Texas responsible for the growth in the state's oil and natural gas production have encountered significa</w:t>
            </w:r>
            <w:r>
              <w:t xml:space="preserve">nt challenges that have limited the potential growth of the energy sector and </w:t>
            </w:r>
            <w:r>
              <w:t xml:space="preserve">could </w:t>
            </w:r>
            <w:r>
              <w:t xml:space="preserve">pose </w:t>
            </w:r>
            <w:r>
              <w:t xml:space="preserve">a </w:t>
            </w:r>
            <w:r>
              <w:t xml:space="preserve">significant threat to the sustained future growth of oil and natural gas production in the state. </w:t>
            </w:r>
            <w:r>
              <w:t>C.S.H.J.R.</w:t>
            </w:r>
            <w:r>
              <w:t xml:space="preserve"> 82 seeks to protect the future of the state's finances</w:t>
            </w:r>
            <w:r>
              <w:t xml:space="preserve"> a</w:t>
            </w:r>
            <w:r>
              <w:t xml:space="preserve">nd ensure the state </w:t>
            </w:r>
            <w:r>
              <w:t>continues</w:t>
            </w:r>
            <w:r>
              <w:t xml:space="preserve"> to lead the way in the production of oil and natural gas for generations to come</w:t>
            </w:r>
            <w:r>
              <w:t xml:space="preserve"> by </w:t>
            </w:r>
            <w:r w:rsidRPr="00492983">
              <w:t>propos</w:t>
            </w:r>
            <w:r>
              <w:t>ing</w:t>
            </w:r>
            <w:r w:rsidRPr="00492983">
              <w:t xml:space="preserve"> </w:t>
            </w:r>
            <w:r>
              <w:t xml:space="preserve">a </w:t>
            </w:r>
            <w:r>
              <w:t>constitutional</w:t>
            </w:r>
            <w:r w:rsidRPr="00492983">
              <w:t xml:space="preserve"> amendment to establish the </w:t>
            </w:r>
            <w:r w:rsidRPr="0097659A">
              <w:t xml:space="preserve">GROW Texas </w:t>
            </w:r>
            <w:r w:rsidRPr="00492983">
              <w:t>fund</w:t>
            </w:r>
            <w:r>
              <w:t>.</w:t>
            </w:r>
          </w:p>
          <w:p w:rsidR="008423E4" w:rsidRPr="00E26B13" w:rsidRDefault="0017503A" w:rsidP="00931141">
            <w:pPr>
              <w:rPr>
                <w:b/>
              </w:rPr>
            </w:pPr>
          </w:p>
        </w:tc>
      </w:tr>
      <w:tr w:rsidR="00CD20E4" w:rsidTr="00345119">
        <w:tc>
          <w:tcPr>
            <w:tcW w:w="9576" w:type="dxa"/>
          </w:tcPr>
          <w:p w:rsidR="0017725B" w:rsidRDefault="0017503A" w:rsidP="00931141">
            <w:pPr>
              <w:rPr>
                <w:b/>
                <w:u w:val="single"/>
              </w:rPr>
            </w:pPr>
            <w:r>
              <w:rPr>
                <w:b/>
                <w:u w:val="single"/>
              </w:rPr>
              <w:t>CRIMINAL JUSTICE IMPACT</w:t>
            </w:r>
          </w:p>
          <w:p w:rsidR="0017725B" w:rsidRDefault="0017503A" w:rsidP="00931141">
            <w:pPr>
              <w:rPr>
                <w:b/>
                <w:u w:val="single"/>
              </w:rPr>
            </w:pPr>
          </w:p>
          <w:p w:rsidR="00EC0ABA" w:rsidRPr="00EC0ABA" w:rsidRDefault="0017503A" w:rsidP="00931141">
            <w:pPr>
              <w:jc w:val="both"/>
            </w:pPr>
            <w:r>
              <w:t xml:space="preserve">It is the committee's opinion that this </w:t>
            </w:r>
            <w:r>
              <w:t xml:space="preserve">resolution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7503A" w:rsidP="00931141">
            <w:pPr>
              <w:rPr>
                <w:b/>
                <w:u w:val="single"/>
              </w:rPr>
            </w:pPr>
          </w:p>
        </w:tc>
      </w:tr>
      <w:tr w:rsidR="00CD20E4" w:rsidTr="00345119">
        <w:tc>
          <w:tcPr>
            <w:tcW w:w="9576" w:type="dxa"/>
          </w:tcPr>
          <w:p w:rsidR="008423E4" w:rsidRPr="00A8133F" w:rsidRDefault="0017503A" w:rsidP="00931141">
            <w:pPr>
              <w:rPr>
                <w:b/>
              </w:rPr>
            </w:pPr>
            <w:r w:rsidRPr="009C1E9A">
              <w:rPr>
                <w:b/>
                <w:u w:val="single"/>
              </w:rPr>
              <w:t>RULEMAKING AUTHO</w:t>
            </w:r>
            <w:r w:rsidRPr="009C1E9A">
              <w:rPr>
                <w:b/>
                <w:u w:val="single"/>
              </w:rPr>
              <w:t>RITY</w:t>
            </w:r>
            <w:r>
              <w:rPr>
                <w:b/>
              </w:rPr>
              <w:t xml:space="preserve"> </w:t>
            </w:r>
          </w:p>
          <w:p w:rsidR="008423E4" w:rsidRDefault="0017503A" w:rsidP="00931141"/>
          <w:p w:rsidR="00EC0ABA" w:rsidRDefault="0017503A" w:rsidP="00931141">
            <w:pPr>
              <w:pStyle w:val="Header"/>
              <w:tabs>
                <w:tab w:val="clear" w:pos="4320"/>
                <w:tab w:val="clear" w:pos="8640"/>
              </w:tabs>
              <w:jc w:val="both"/>
            </w:pPr>
            <w:r>
              <w:t xml:space="preserve">It is the committee's opinion that this </w:t>
            </w:r>
            <w:r>
              <w:t xml:space="preserve">resolution </w:t>
            </w:r>
            <w:r>
              <w:t>does not expressly grant any additional rulemaking authority to a state officer, department, agency, or institution.</w:t>
            </w:r>
          </w:p>
          <w:p w:rsidR="008423E4" w:rsidRPr="00E21FDC" w:rsidRDefault="0017503A" w:rsidP="00931141">
            <w:pPr>
              <w:rPr>
                <w:b/>
              </w:rPr>
            </w:pPr>
          </w:p>
        </w:tc>
      </w:tr>
      <w:tr w:rsidR="00CD20E4" w:rsidTr="00345119">
        <w:tc>
          <w:tcPr>
            <w:tcW w:w="9576" w:type="dxa"/>
          </w:tcPr>
          <w:p w:rsidR="008423E4" w:rsidRPr="00A8133F" w:rsidRDefault="0017503A" w:rsidP="00931141">
            <w:pPr>
              <w:rPr>
                <w:b/>
              </w:rPr>
            </w:pPr>
            <w:r w:rsidRPr="009C1E9A">
              <w:rPr>
                <w:b/>
                <w:u w:val="single"/>
              </w:rPr>
              <w:t>ANALYSIS</w:t>
            </w:r>
            <w:r>
              <w:rPr>
                <w:b/>
              </w:rPr>
              <w:t xml:space="preserve"> </w:t>
            </w:r>
          </w:p>
          <w:p w:rsidR="008423E4" w:rsidRDefault="0017503A" w:rsidP="00931141"/>
          <w:p w:rsidR="006E2988" w:rsidRDefault="0017503A" w:rsidP="00931141">
            <w:pPr>
              <w:pStyle w:val="Header"/>
              <w:jc w:val="both"/>
            </w:pPr>
            <w:r>
              <w:t>C.S.H.J.R.</w:t>
            </w:r>
            <w:r>
              <w:t xml:space="preserve"> 82 proposes an amendment to the Texas Constitution to est</w:t>
            </w:r>
            <w:r>
              <w:t xml:space="preserve">ablish the </w:t>
            </w:r>
            <w:r w:rsidRPr="0097659A">
              <w:t>generate recurring oil wealth for Texas (GROW Texas) fund</w:t>
            </w:r>
            <w:r w:rsidRPr="001731A3">
              <w:t xml:space="preserve"> as a fund in the state treasury</w:t>
            </w:r>
            <w:r>
              <w:t>.</w:t>
            </w:r>
            <w:r>
              <w:t xml:space="preserve"> </w:t>
            </w:r>
            <w:r>
              <w:t>The</w:t>
            </w:r>
            <w:r>
              <w:t xml:space="preserve"> </w:t>
            </w:r>
            <w:r>
              <w:t>resolution</w:t>
            </w:r>
            <w:r>
              <w:t xml:space="preserve"> sets out the composition of </w:t>
            </w:r>
            <w:r>
              <w:t xml:space="preserve">the </w:t>
            </w:r>
            <w:r>
              <w:t xml:space="preserve">GROW Texas </w:t>
            </w:r>
            <w:r>
              <w:t>fund</w:t>
            </w:r>
            <w:r>
              <w:t xml:space="preserve"> and</w:t>
            </w:r>
            <w:r>
              <w:t xml:space="preserve"> </w:t>
            </w:r>
            <w:r>
              <w:t xml:space="preserve">limits the purposes for which </w:t>
            </w:r>
            <w:r>
              <w:t xml:space="preserve">the legislature </w:t>
            </w:r>
            <w:r>
              <w:t xml:space="preserve">may </w:t>
            </w:r>
            <w:r>
              <w:t xml:space="preserve">appropriate money from the fund </w:t>
            </w:r>
            <w:r>
              <w:t xml:space="preserve">to </w:t>
            </w:r>
            <w:r>
              <w:t>ad</w:t>
            </w:r>
            <w:r>
              <w:t>dressing infrastructure needs in the manner provided by general law in areas of the state determined by the legislature to be significantly affected by oil and gas production</w:t>
            </w:r>
            <w:r>
              <w:t>.</w:t>
            </w:r>
            <w:r>
              <w:t xml:space="preserve"> </w:t>
            </w:r>
            <w:r>
              <w:t>Such general law may provide for the appropriation of money in the fund to</w:t>
            </w:r>
            <w:r>
              <w:t xml:space="preserve"> mak</w:t>
            </w:r>
            <w:r>
              <w:t>e</w:t>
            </w:r>
            <w:r>
              <w:t xml:space="preserve"> </w:t>
            </w:r>
            <w:r>
              <w:t>grants to state agencies and political subdivisions</w:t>
            </w:r>
            <w:r>
              <w:t xml:space="preserve"> for </w:t>
            </w:r>
            <w:r>
              <w:t xml:space="preserve">such </w:t>
            </w:r>
            <w:r>
              <w:t>authorized purpose</w:t>
            </w:r>
            <w:r>
              <w:t>s</w:t>
            </w:r>
            <w:r>
              <w:t>.</w:t>
            </w:r>
            <w:r>
              <w:t xml:space="preserve"> The resolution requires the comptroller of public accounts, on the last day of each state fiscal biennium, to transfer any unobligated and unappropriated money that remains in the GROW Texas fund on that date to the economic stabilization fund</w:t>
            </w:r>
            <w:r>
              <w:t xml:space="preserve"> (ESF)</w:t>
            </w:r>
            <w:r>
              <w:t>.</w:t>
            </w:r>
          </w:p>
          <w:p w:rsidR="006E2988" w:rsidRDefault="0017503A" w:rsidP="00931141">
            <w:pPr>
              <w:pStyle w:val="Header"/>
              <w:jc w:val="both"/>
            </w:pPr>
          </w:p>
          <w:p w:rsidR="002661AE" w:rsidRDefault="0017503A" w:rsidP="00931141">
            <w:pPr>
              <w:pStyle w:val="Header"/>
              <w:jc w:val="both"/>
            </w:pPr>
            <w:r w:rsidRPr="006E2988">
              <w:t>C.S</w:t>
            </w:r>
            <w:r w:rsidRPr="006E2988">
              <w:t xml:space="preserve">.H.J.R. 82 </w:t>
            </w:r>
            <w:r>
              <w:t>creates</w:t>
            </w:r>
            <w:r>
              <w:t xml:space="preserve"> the GROW Texas fund commission to administer money appropriated from the fund and to advise the legislature on making appropriations </w:t>
            </w:r>
            <w:r>
              <w:t>from</w:t>
            </w:r>
            <w:r>
              <w:t xml:space="preserve"> the fund. The resolution provides for the composition of the</w:t>
            </w:r>
            <w:r>
              <w:t xml:space="preserve"> </w:t>
            </w:r>
            <w:r>
              <w:t>commission</w:t>
            </w:r>
            <w:r>
              <w:t xml:space="preserve"> and </w:t>
            </w:r>
            <w:r>
              <w:t>provides for its admini</w:t>
            </w:r>
            <w:r>
              <w:t>stration and operation.</w:t>
            </w:r>
          </w:p>
          <w:p w:rsidR="002661AE" w:rsidRDefault="0017503A" w:rsidP="00931141">
            <w:pPr>
              <w:pStyle w:val="Header"/>
              <w:jc w:val="both"/>
            </w:pPr>
          </w:p>
          <w:p w:rsidR="008423E4" w:rsidRDefault="0017503A" w:rsidP="00931141">
            <w:pPr>
              <w:pStyle w:val="Header"/>
              <w:jc w:val="both"/>
            </w:pPr>
            <w:r>
              <w:t>C.S.H.J.R.</w:t>
            </w:r>
            <w:r w:rsidRPr="002661AE">
              <w:t xml:space="preserve"> 82 </w:t>
            </w:r>
            <w:r w:rsidRPr="00F65A7D">
              <w:t xml:space="preserve">revises the requirement for the comptroller to transfer from the general revenue fund to the </w:t>
            </w:r>
            <w:r>
              <w:t>ESF</w:t>
            </w:r>
            <w:r w:rsidRPr="00F65A7D">
              <w:t xml:space="preserve"> </w:t>
            </w:r>
            <w:r w:rsidRPr="00F65A7D">
              <w:t>and the state highway fund each state fiscal year the sum of certain net amounts of oil and gas production taxes receive</w:t>
            </w:r>
            <w:r w:rsidRPr="00F65A7D">
              <w:t xml:space="preserve">d by the state in the preceding year by including the </w:t>
            </w:r>
            <w:r>
              <w:t>GROW Texas fund</w:t>
            </w:r>
            <w:r w:rsidRPr="00F65A7D">
              <w:t xml:space="preserve"> as a recipient of that fund transfer.</w:t>
            </w:r>
            <w:r>
              <w:t xml:space="preserve"> The resolution </w:t>
            </w:r>
            <w:r>
              <w:t>changes</w:t>
            </w:r>
            <w:r>
              <w:t xml:space="preserve"> the </w:t>
            </w:r>
            <w:r>
              <w:t xml:space="preserve">required </w:t>
            </w:r>
            <w:r>
              <w:t xml:space="preserve">allocation </w:t>
            </w:r>
            <w:r>
              <w:t xml:space="preserve">by </w:t>
            </w:r>
            <w:r>
              <w:t xml:space="preserve">requiring the comptroller, each time the comptroller determines the amount </w:t>
            </w:r>
            <w:r>
              <w:t xml:space="preserve">of general revenue </w:t>
            </w:r>
            <w:r>
              <w:t>to b</w:t>
            </w:r>
            <w:r>
              <w:t>e allocated</w:t>
            </w:r>
            <w:r>
              <w:t xml:space="preserve"> for transfer to the </w:t>
            </w:r>
            <w:r>
              <w:t>ESF</w:t>
            </w:r>
            <w:r>
              <w:t xml:space="preserve">, to reduce </w:t>
            </w:r>
            <w:r>
              <w:t xml:space="preserve">that amount </w:t>
            </w:r>
            <w:r>
              <w:t>by</w:t>
            </w:r>
            <w:r>
              <w:t xml:space="preserve"> 12 percent </w:t>
            </w:r>
            <w:r>
              <w:t xml:space="preserve">and </w:t>
            </w:r>
            <w:r>
              <w:t xml:space="preserve">to transfer that amount </w:t>
            </w:r>
            <w:r>
              <w:t xml:space="preserve">instead </w:t>
            </w:r>
            <w:r>
              <w:t xml:space="preserve">to the credit of </w:t>
            </w:r>
            <w:r>
              <w:t>the GROW Texas fund</w:t>
            </w:r>
            <w:r>
              <w:t>, subject to a cap on the total amount transferred in a state fiscal biennium of</w:t>
            </w:r>
            <w:r>
              <w:t xml:space="preserve"> $250 million</w:t>
            </w:r>
            <w:r>
              <w:t>.</w:t>
            </w:r>
            <w:r>
              <w:t xml:space="preserve"> </w:t>
            </w:r>
            <w:r>
              <w:t>The</w:t>
            </w:r>
            <w:r>
              <w:t xml:space="preserve"> </w:t>
            </w:r>
            <w:r>
              <w:t xml:space="preserve">resolution </w:t>
            </w:r>
            <w:r>
              <w:t>p</w:t>
            </w:r>
            <w:r>
              <w:t xml:space="preserve">rohibits the comptroller, for purposes of determining the amount to transfer to the GROW Texas fund, from considering </w:t>
            </w:r>
            <w:r>
              <w:t>certain increases in</w:t>
            </w:r>
            <w:r>
              <w:t xml:space="preserve"> the amount transferred to the </w:t>
            </w:r>
            <w:r>
              <w:t>ESF</w:t>
            </w:r>
            <w:r>
              <w:t xml:space="preserve">. </w:t>
            </w:r>
            <w:r>
              <w:t>The</w:t>
            </w:r>
            <w:r w:rsidRPr="008665A4">
              <w:t xml:space="preserve"> resolution's provisions </w:t>
            </w:r>
            <w:r>
              <w:t xml:space="preserve">take </w:t>
            </w:r>
            <w:r w:rsidRPr="008665A4">
              <w:t>effect</w:t>
            </w:r>
            <w:r>
              <w:t xml:space="preserve"> </w:t>
            </w:r>
            <w:r>
              <w:t>September 1, 2021</w:t>
            </w:r>
            <w:r w:rsidRPr="008665A4">
              <w:t>.</w:t>
            </w:r>
          </w:p>
          <w:p w:rsidR="00CC0A62" w:rsidRPr="00835628" w:rsidRDefault="0017503A" w:rsidP="00931141">
            <w:pPr>
              <w:pStyle w:val="Header"/>
              <w:jc w:val="both"/>
              <w:rPr>
                <w:b/>
              </w:rPr>
            </w:pPr>
          </w:p>
        </w:tc>
      </w:tr>
      <w:tr w:rsidR="00CD20E4" w:rsidTr="00345119">
        <w:tc>
          <w:tcPr>
            <w:tcW w:w="9576" w:type="dxa"/>
          </w:tcPr>
          <w:p w:rsidR="008423E4" w:rsidRPr="00A8133F" w:rsidRDefault="0017503A" w:rsidP="00931141">
            <w:pPr>
              <w:rPr>
                <w:b/>
              </w:rPr>
            </w:pPr>
            <w:r>
              <w:rPr>
                <w:b/>
                <w:u w:val="single"/>
              </w:rPr>
              <w:t>ELECTION DATE</w:t>
            </w:r>
            <w:r>
              <w:rPr>
                <w:b/>
              </w:rPr>
              <w:t xml:space="preserve"> </w:t>
            </w:r>
          </w:p>
          <w:p w:rsidR="008423E4" w:rsidRDefault="0017503A" w:rsidP="00931141"/>
          <w:p w:rsidR="008423E4" w:rsidRPr="003624F2" w:rsidRDefault="0017503A" w:rsidP="00931141">
            <w:pPr>
              <w:pStyle w:val="Header"/>
              <w:tabs>
                <w:tab w:val="clear" w:pos="4320"/>
                <w:tab w:val="clear" w:pos="8640"/>
              </w:tabs>
              <w:jc w:val="both"/>
            </w:pPr>
            <w:r>
              <w:t xml:space="preserve">The </w:t>
            </w:r>
            <w:r>
              <w:t>constitutional amendment proposed by this joint resolution will be submitted to the voters at an election to be held November 5, 2019.</w:t>
            </w:r>
          </w:p>
          <w:p w:rsidR="008423E4" w:rsidRPr="00233FDB" w:rsidRDefault="0017503A" w:rsidP="00931141">
            <w:pPr>
              <w:rPr>
                <w:b/>
              </w:rPr>
            </w:pPr>
          </w:p>
        </w:tc>
      </w:tr>
      <w:tr w:rsidR="00CD20E4" w:rsidTr="00345119">
        <w:tc>
          <w:tcPr>
            <w:tcW w:w="9576" w:type="dxa"/>
          </w:tcPr>
          <w:p w:rsidR="003D291A" w:rsidRDefault="0017503A" w:rsidP="00931141">
            <w:pPr>
              <w:jc w:val="both"/>
              <w:rPr>
                <w:b/>
                <w:u w:val="single"/>
              </w:rPr>
            </w:pPr>
            <w:r>
              <w:rPr>
                <w:b/>
                <w:u w:val="single"/>
              </w:rPr>
              <w:t>COMPARISON OF ORIGINAL AND SUBSTITUTE</w:t>
            </w:r>
          </w:p>
          <w:p w:rsidR="004E605F" w:rsidRDefault="0017503A" w:rsidP="00931141">
            <w:pPr>
              <w:jc w:val="both"/>
            </w:pPr>
          </w:p>
          <w:p w:rsidR="004E605F" w:rsidRDefault="0017503A" w:rsidP="00931141">
            <w:pPr>
              <w:jc w:val="both"/>
            </w:pPr>
            <w:r>
              <w:t>While C.S.H.J.R. 82 may differ from the original in minor or nonsubstantive ways</w:t>
            </w:r>
            <w:r>
              <w:t>, the following summarizes the substantial differences between the introduced and committee substitute versions of the resolution.</w:t>
            </w:r>
          </w:p>
          <w:p w:rsidR="004E605F" w:rsidRDefault="0017503A" w:rsidP="00931141">
            <w:pPr>
              <w:jc w:val="both"/>
            </w:pPr>
          </w:p>
          <w:p w:rsidR="004E605F" w:rsidRDefault="0017503A" w:rsidP="00931141">
            <w:pPr>
              <w:jc w:val="both"/>
            </w:pPr>
            <w:r>
              <w:t xml:space="preserve">The substitute </w:t>
            </w:r>
            <w:r>
              <w:t xml:space="preserve">caps at $250 million the amount </w:t>
            </w:r>
            <w:r>
              <w:t>of general revenue</w:t>
            </w:r>
            <w:r>
              <w:t xml:space="preserve"> </w:t>
            </w:r>
            <w:r>
              <w:t xml:space="preserve">transferred </w:t>
            </w:r>
            <w:r>
              <w:t>to the GROW Texas fund in a state fiscal bienn</w:t>
            </w:r>
            <w:r>
              <w:t>ium</w:t>
            </w:r>
            <w:r>
              <w:t xml:space="preserve"> and includes a requirement for</w:t>
            </w:r>
            <w:r w:rsidRPr="00557057">
              <w:t xml:space="preserve"> the comptroller, on the last day of each state fiscal biennium, to transfer any unobligated and unappropriated money that remains in the GROW Texas fund on that date to the </w:t>
            </w:r>
            <w:r>
              <w:t>ESF</w:t>
            </w:r>
            <w:r w:rsidRPr="00557057">
              <w:t>.</w:t>
            </w:r>
          </w:p>
          <w:p w:rsidR="00557057" w:rsidRDefault="0017503A" w:rsidP="00931141">
            <w:pPr>
              <w:jc w:val="both"/>
            </w:pPr>
          </w:p>
          <w:p w:rsidR="00A31DA3" w:rsidRDefault="0017503A" w:rsidP="00931141">
            <w:pPr>
              <w:jc w:val="both"/>
            </w:pPr>
            <w:r>
              <w:t xml:space="preserve">The substitute </w:t>
            </w:r>
            <w:r>
              <w:t>changes</w:t>
            </w:r>
            <w:r>
              <w:t xml:space="preserve"> the purposes for wh</w:t>
            </w:r>
            <w:r>
              <w:t xml:space="preserve">ich the legislature may </w:t>
            </w:r>
            <w:r w:rsidRPr="00557057">
              <w:t xml:space="preserve">appropriate money from the </w:t>
            </w:r>
            <w:r>
              <w:t xml:space="preserve">GROW Texas </w:t>
            </w:r>
            <w:r w:rsidRPr="00557057">
              <w:t>fund.</w:t>
            </w:r>
          </w:p>
          <w:p w:rsidR="00A31DA3" w:rsidRDefault="0017503A" w:rsidP="00931141">
            <w:pPr>
              <w:jc w:val="both"/>
            </w:pPr>
          </w:p>
          <w:p w:rsidR="00557057" w:rsidRDefault="0017503A" w:rsidP="00931141">
            <w:pPr>
              <w:jc w:val="both"/>
            </w:pPr>
            <w:r>
              <w:t xml:space="preserve">The substitute includes provisions </w:t>
            </w:r>
            <w:r>
              <w:t xml:space="preserve">creating </w:t>
            </w:r>
            <w:r>
              <w:t>the GROW Texas fund commission</w:t>
            </w:r>
            <w:r>
              <w:t>.</w:t>
            </w:r>
          </w:p>
          <w:p w:rsidR="00D74293" w:rsidRDefault="0017503A" w:rsidP="00931141">
            <w:pPr>
              <w:jc w:val="both"/>
            </w:pPr>
          </w:p>
          <w:p w:rsidR="00D74293" w:rsidRDefault="0017503A" w:rsidP="00931141">
            <w:pPr>
              <w:jc w:val="both"/>
            </w:pPr>
            <w:r>
              <w:t>The substitute changes the date on which the resolution's provisions take effect from January</w:t>
            </w:r>
            <w:r>
              <w:t> </w:t>
            </w:r>
            <w:r>
              <w:t xml:space="preserve"> 1, </w:t>
            </w:r>
            <w:r>
              <w:t> </w:t>
            </w:r>
            <w:r>
              <w:t>2020, to Se</w:t>
            </w:r>
            <w:r>
              <w:t>ptember 1, 2021.</w:t>
            </w:r>
          </w:p>
          <w:p w:rsidR="004E605F" w:rsidRPr="004E605F" w:rsidRDefault="0017503A" w:rsidP="00931141">
            <w:pPr>
              <w:jc w:val="both"/>
            </w:pPr>
          </w:p>
        </w:tc>
      </w:tr>
      <w:tr w:rsidR="00CD20E4" w:rsidTr="00345119">
        <w:tc>
          <w:tcPr>
            <w:tcW w:w="9576" w:type="dxa"/>
          </w:tcPr>
          <w:p w:rsidR="003D291A" w:rsidRDefault="0017503A" w:rsidP="00931141">
            <w:pPr>
              <w:rPr>
                <w:b/>
                <w:u w:val="single"/>
              </w:rPr>
            </w:pPr>
          </w:p>
        </w:tc>
      </w:tr>
      <w:tr w:rsidR="00CD20E4" w:rsidTr="00345119">
        <w:tc>
          <w:tcPr>
            <w:tcW w:w="9576" w:type="dxa"/>
          </w:tcPr>
          <w:p w:rsidR="003D291A" w:rsidRPr="003D291A" w:rsidRDefault="0017503A" w:rsidP="00931141">
            <w:pPr>
              <w:jc w:val="both"/>
            </w:pPr>
          </w:p>
        </w:tc>
      </w:tr>
    </w:tbl>
    <w:p w:rsidR="008423E4" w:rsidRPr="00BE0E75" w:rsidRDefault="0017503A" w:rsidP="008423E4">
      <w:pPr>
        <w:spacing w:line="480" w:lineRule="auto"/>
        <w:jc w:val="both"/>
        <w:rPr>
          <w:rFonts w:ascii="Arial" w:hAnsi="Arial"/>
          <w:sz w:val="16"/>
          <w:szCs w:val="16"/>
        </w:rPr>
      </w:pPr>
    </w:p>
    <w:p w:rsidR="004108C3" w:rsidRPr="008423E4" w:rsidRDefault="0017503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503A">
      <w:r>
        <w:separator/>
      </w:r>
    </w:p>
  </w:endnote>
  <w:endnote w:type="continuationSeparator" w:id="0">
    <w:p w:rsidR="00000000" w:rsidRDefault="0017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D20E4" w:rsidTr="009C1E9A">
      <w:trPr>
        <w:cantSplit/>
      </w:trPr>
      <w:tc>
        <w:tcPr>
          <w:tcW w:w="0" w:type="pct"/>
        </w:tcPr>
        <w:p w:rsidR="00137D90" w:rsidRDefault="0017503A" w:rsidP="009C1E9A">
          <w:pPr>
            <w:pStyle w:val="Footer"/>
            <w:tabs>
              <w:tab w:val="clear" w:pos="8640"/>
              <w:tab w:val="right" w:pos="9360"/>
            </w:tabs>
          </w:pPr>
        </w:p>
      </w:tc>
      <w:tc>
        <w:tcPr>
          <w:tcW w:w="2395" w:type="pct"/>
        </w:tcPr>
        <w:p w:rsidR="00137D90" w:rsidRDefault="0017503A" w:rsidP="009C1E9A">
          <w:pPr>
            <w:pStyle w:val="Footer"/>
            <w:tabs>
              <w:tab w:val="clear" w:pos="8640"/>
              <w:tab w:val="right" w:pos="9360"/>
            </w:tabs>
          </w:pPr>
        </w:p>
        <w:p w:rsidR="001A4310" w:rsidRDefault="0017503A" w:rsidP="009C1E9A">
          <w:pPr>
            <w:pStyle w:val="Footer"/>
            <w:tabs>
              <w:tab w:val="clear" w:pos="8640"/>
              <w:tab w:val="right" w:pos="9360"/>
            </w:tabs>
          </w:pPr>
        </w:p>
        <w:p w:rsidR="00137D90" w:rsidRDefault="0017503A" w:rsidP="009C1E9A">
          <w:pPr>
            <w:pStyle w:val="Footer"/>
            <w:tabs>
              <w:tab w:val="clear" w:pos="8640"/>
              <w:tab w:val="right" w:pos="9360"/>
            </w:tabs>
          </w:pPr>
        </w:p>
      </w:tc>
      <w:tc>
        <w:tcPr>
          <w:tcW w:w="2453" w:type="pct"/>
        </w:tcPr>
        <w:p w:rsidR="00137D90" w:rsidRDefault="0017503A" w:rsidP="009C1E9A">
          <w:pPr>
            <w:pStyle w:val="Footer"/>
            <w:tabs>
              <w:tab w:val="clear" w:pos="8640"/>
              <w:tab w:val="right" w:pos="9360"/>
            </w:tabs>
            <w:jc w:val="right"/>
          </w:pPr>
        </w:p>
      </w:tc>
    </w:tr>
    <w:tr w:rsidR="00CD20E4" w:rsidTr="009C1E9A">
      <w:trPr>
        <w:cantSplit/>
      </w:trPr>
      <w:tc>
        <w:tcPr>
          <w:tcW w:w="0" w:type="pct"/>
        </w:tcPr>
        <w:p w:rsidR="00EC379B" w:rsidRDefault="0017503A" w:rsidP="009C1E9A">
          <w:pPr>
            <w:pStyle w:val="Footer"/>
            <w:tabs>
              <w:tab w:val="clear" w:pos="8640"/>
              <w:tab w:val="right" w:pos="9360"/>
            </w:tabs>
          </w:pPr>
        </w:p>
      </w:tc>
      <w:tc>
        <w:tcPr>
          <w:tcW w:w="2395" w:type="pct"/>
        </w:tcPr>
        <w:p w:rsidR="00EC379B" w:rsidRPr="009C1E9A" w:rsidRDefault="0017503A" w:rsidP="009C1E9A">
          <w:pPr>
            <w:pStyle w:val="Footer"/>
            <w:tabs>
              <w:tab w:val="clear" w:pos="8640"/>
              <w:tab w:val="right" w:pos="9360"/>
            </w:tabs>
            <w:rPr>
              <w:rFonts w:ascii="Shruti" w:hAnsi="Shruti"/>
              <w:sz w:val="22"/>
            </w:rPr>
          </w:pPr>
          <w:r>
            <w:rPr>
              <w:rFonts w:ascii="Shruti" w:hAnsi="Shruti"/>
              <w:sz w:val="22"/>
            </w:rPr>
            <w:t>86R 29730</w:t>
          </w:r>
        </w:p>
      </w:tc>
      <w:tc>
        <w:tcPr>
          <w:tcW w:w="2453" w:type="pct"/>
        </w:tcPr>
        <w:p w:rsidR="00EC379B" w:rsidRDefault="0017503A" w:rsidP="009C1E9A">
          <w:pPr>
            <w:pStyle w:val="Footer"/>
            <w:tabs>
              <w:tab w:val="clear" w:pos="8640"/>
              <w:tab w:val="right" w:pos="9360"/>
            </w:tabs>
            <w:jc w:val="right"/>
          </w:pPr>
          <w:r>
            <w:fldChar w:fldCharType="begin"/>
          </w:r>
          <w:r>
            <w:instrText xml:space="preserve"> DOCPROPERTY  OTID  \* MERGEFORMAT </w:instrText>
          </w:r>
          <w:r>
            <w:fldChar w:fldCharType="separate"/>
          </w:r>
          <w:r>
            <w:t>19.115.1116</w:t>
          </w:r>
          <w:r>
            <w:fldChar w:fldCharType="end"/>
          </w:r>
        </w:p>
      </w:tc>
    </w:tr>
    <w:tr w:rsidR="00CD20E4" w:rsidTr="009C1E9A">
      <w:trPr>
        <w:cantSplit/>
      </w:trPr>
      <w:tc>
        <w:tcPr>
          <w:tcW w:w="0" w:type="pct"/>
        </w:tcPr>
        <w:p w:rsidR="00EC379B" w:rsidRDefault="0017503A" w:rsidP="009C1E9A">
          <w:pPr>
            <w:pStyle w:val="Footer"/>
            <w:tabs>
              <w:tab w:val="clear" w:pos="4320"/>
              <w:tab w:val="clear" w:pos="8640"/>
              <w:tab w:val="left" w:pos="2865"/>
            </w:tabs>
          </w:pPr>
        </w:p>
      </w:tc>
      <w:tc>
        <w:tcPr>
          <w:tcW w:w="2395" w:type="pct"/>
        </w:tcPr>
        <w:p w:rsidR="00EC379B" w:rsidRPr="009C1E9A" w:rsidRDefault="0017503A" w:rsidP="009C1E9A">
          <w:pPr>
            <w:pStyle w:val="Footer"/>
            <w:tabs>
              <w:tab w:val="clear" w:pos="4320"/>
              <w:tab w:val="clear" w:pos="8640"/>
              <w:tab w:val="left" w:pos="2865"/>
            </w:tabs>
            <w:rPr>
              <w:rFonts w:ascii="Shruti" w:hAnsi="Shruti"/>
              <w:sz w:val="22"/>
            </w:rPr>
          </w:pPr>
          <w:r>
            <w:rPr>
              <w:rFonts w:ascii="Shruti" w:hAnsi="Shruti"/>
              <w:sz w:val="22"/>
            </w:rPr>
            <w:t>Substitute Document Number: 86R 28283</w:t>
          </w:r>
        </w:p>
      </w:tc>
      <w:tc>
        <w:tcPr>
          <w:tcW w:w="2453" w:type="pct"/>
        </w:tcPr>
        <w:p w:rsidR="00EC379B" w:rsidRDefault="0017503A" w:rsidP="006D504F">
          <w:pPr>
            <w:pStyle w:val="Footer"/>
            <w:rPr>
              <w:rStyle w:val="PageNumber"/>
            </w:rPr>
          </w:pPr>
        </w:p>
        <w:p w:rsidR="00EC379B" w:rsidRDefault="0017503A" w:rsidP="009C1E9A">
          <w:pPr>
            <w:pStyle w:val="Footer"/>
            <w:tabs>
              <w:tab w:val="clear" w:pos="8640"/>
              <w:tab w:val="right" w:pos="9360"/>
            </w:tabs>
            <w:jc w:val="right"/>
          </w:pPr>
        </w:p>
      </w:tc>
    </w:tr>
    <w:tr w:rsidR="00CD20E4" w:rsidTr="009C1E9A">
      <w:trPr>
        <w:cantSplit/>
        <w:trHeight w:val="323"/>
      </w:trPr>
      <w:tc>
        <w:tcPr>
          <w:tcW w:w="0" w:type="pct"/>
          <w:gridSpan w:val="3"/>
        </w:tcPr>
        <w:p w:rsidR="00EC379B" w:rsidRDefault="001750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7503A" w:rsidP="009C1E9A">
          <w:pPr>
            <w:pStyle w:val="Footer"/>
            <w:tabs>
              <w:tab w:val="clear" w:pos="8640"/>
              <w:tab w:val="right" w:pos="9360"/>
            </w:tabs>
            <w:jc w:val="center"/>
          </w:pPr>
        </w:p>
      </w:tc>
    </w:tr>
  </w:tbl>
  <w:p w:rsidR="00EC379B" w:rsidRPr="00FF6F72" w:rsidRDefault="0017503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503A">
      <w:r>
        <w:separator/>
      </w:r>
    </w:p>
  </w:footnote>
  <w:footnote w:type="continuationSeparator" w:id="0">
    <w:p w:rsidR="00000000" w:rsidRDefault="0017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5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A1E"/>
    <w:multiLevelType w:val="hybridMultilevel"/>
    <w:tmpl w:val="165AF96C"/>
    <w:lvl w:ilvl="0" w:tplc="887C803C">
      <w:start w:val="1"/>
      <w:numFmt w:val="bullet"/>
      <w:lvlText w:val=""/>
      <w:lvlJc w:val="left"/>
      <w:pPr>
        <w:tabs>
          <w:tab w:val="num" w:pos="720"/>
        </w:tabs>
        <w:ind w:left="720" w:hanging="360"/>
      </w:pPr>
      <w:rPr>
        <w:rFonts w:ascii="Symbol" w:hAnsi="Symbol" w:hint="default"/>
      </w:rPr>
    </w:lvl>
    <w:lvl w:ilvl="1" w:tplc="19CE541A" w:tentative="1">
      <w:start w:val="1"/>
      <w:numFmt w:val="bullet"/>
      <w:lvlText w:val="o"/>
      <w:lvlJc w:val="left"/>
      <w:pPr>
        <w:ind w:left="1440" w:hanging="360"/>
      </w:pPr>
      <w:rPr>
        <w:rFonts w:ascii="Courier New" w:hAnsi="Courier New" w:cs="Courier New" w:hint="default"/>
      </w:rPr>
    </w:lvl>
    <w:lvl w:ilvl="2" w:tplc="C8501E38" w:tentative="1">
      <w:start w:val="1"/>
      <w:numFmt w:val="bullet"/>
      <w:lvlText w:val=""/>
      <w:lvlJc w:val="left"/>
      <w:pPr>
        <w:ind w:left="2160" w:hanging="360"/>
      </w:pPr>
      <w:rPr>
        <w:rFonts w:ascii="Wingdings" w:hAnsi="Wingdings" w:hint="default"/>
      </w:rPr>
    </w:lvl>
    <w:lvl w:ilvl="3" w:tplc="9C20F290" w:tentative="1">
      <w:start w:val="1"/>
      <w:numFmt w:val="bullet"/>
      <w:lvlText w:val=""/>
      <w:lvlJc w:val="left"/>
      <w:pPr>
        <w:ind w:left="2880" w:hanging="360"/>
      </w:pPr>
      <w:rPr>
        <w:rFonts w:ascii="Symbol" w:hAnsi="Symbol" w:hint="default"/>
      </w:rPr>
    </w:lvl>
    <w:lvl w:ilvl="4" w:tplc="09CAFF94" w:tentative="1">
      <w:start w:val="1"/>
      <w:numFmt w:val="bullet"/>
      <w:lvlText w:val="o"/>
      <w:lvlJc w:val="left"/>
      <w:pPr>
        <w:ind w:left="3600" w:hanging="360"/>
      </w:pPr>
      <w:rPr>
        <w:rFonts w:ascii="Courier New" w:hAnsi="Courier New" w:cs="Courier New" w:hint="default"/>
      </w:rPr>
    </w:lvl>
    <w:lvl w:ilvl="5" w:tplc="7B3C4AFE" w:tentative="1">
      <w:start w:val="1"/>
      <w:numFmt w:val="bullet"/>
      <w:lvlText w:val=""/>
      <w:lvlJc w:val="left"/>
      <w:pPr>
        <w:ind w:left="4320" w:hanging="360"/>
      </w:pPr>
      <w:rPr>
        <w:rFonts w:ascii="Wingdings" w:hAnsi="Wingdings" w:hint="default"/>
      </w:rPr>
    </w:lvl>
    <w:lvl w:ilvl="6" w:tplc="5DCE3DC6" w:tentative="1">
      <w:start w:val="1"/>
      <w:numFmt w:val="bullet"/>
      <w:lvlText w:val=""/>
      <w:lvlJc w:val="left"/>
      <w:pPr>
        <w:ind w:left="5040" w:hanging="360"/>
      </w:pPr>
      <w:rPr>
        <w:rFonts w:ascii="Symbol" w:hAnsi="Symbol" w:hint="default"/>
      </w:rPr>
    </w:lvl>
    <w:lvl w:ilvl="7" w:tplc="57BE8B88" w:tentative="1">
      <w:start w:val="1"/>
      <w:numFmt w:val="bullet"/>
      <w:lvlText w:val="o"/>
      <w:lvlJc w:val="left"/>
      <w:pPr>
        <w:ind w:left="5760" w:hanging="360"/>
      </w:pPr>
      <w:rPr>
        <w:rFonts w:ascii="Courier New" w:hAnsi="Courier New" w:cs="Courier New" w:hint="default"/>
      </w:rPr>
    </w:lvl>
    <w:lvl w:ilvl="8" w:tplc="60CE144A" w:tentative="1">
      <w:start w:val="1"/>
      <w:numFmt w:val="bullet"/>
      <w:lvlText w:val=""/>
      <w:lvlJc w:val="left"/>
      <w:pPr>
        <w:ind w:left="6480" w:hanging="360"/>
      </w:pPr>
      <w:rPr>
        <w:rFonts w:ascii="Wingdings" w:hAnsi="Wingdings" w:hint="default"/>
      </w:rPr>
    </w:lvl>
  </w:abstractNum>
  <w:abstractNum w:abstractNumId="1" w15:restartNumberingAfterBreak="0">
    <w:nsid w:val="6C2178A3"/>
    <w:multiLevelType w:val="hybridMultilevel"/>
    <w:tmpl w:val="EB5CD4E4"/>
    <w:lvl w:ilvl="0" w:tplc="61FA1E7C">
      <w:start w:val="1"/>
      <w:numFmt w:val="decimal"/>
      <w:lvlText w:val="%1."/>
      <w:lvlJc w:val="left"/>
      <w:pPr>
        <w:ind w:left="720" w:hanging="360"/>
      </w:pPr>
      <w:rPr>
        <w:rFonts w:hint="default"/>
      </w:rPr>
    </w:lvl>
    <w:lvl w:ilvl="1" w:tplc="CA6ADE2E" w:tentative="1">
      <w:start w:val="1"/>
      <w:numFmt w:val="lowerLetter"/>
      <w:lvlText w:val="%2."/>
      <w:lvlJc w:val="left"/>
      <w:pPr>
        <w:ind w:left="1440" w:hanging="360"/>
      </w:pPr>
    </w:lvl>
    <w:lvl w:ilvl="2" w:tplc="04407D9C" w:tentative="1">
      <w:start w:val="1"/>
      <w:numFmt w:val="lowerRoman"/>
      <w:lvlText w:val="%3."/>
      <w:lvlJc w:val="right"/>
      <w:pPr>
        <w:ind w:left="2160" w:hanging="180"/>
      </w:pPr>
    </w:lvl>
    <w:lvl w:ilvl="3" w:tplc="2D22F370" w:tentative="1">
      <w:start w:val="1"/>
      <w:numFmt w:val="decimal"/>
      <w:lvlText w:val="%4."/>
      <w:lvlJc w:val="left"/>
      <w:pPr>
        <w:ind w:left="2880" w:hanging="360"/>
      </w:pPr>
    </w:lvl>
    <w:lvl w:ilvl="4" w:tplc="B80E9194" w:tentative="1">
      <w:start w:val="1"/>
      <w:numFmt w:val="lowerLetter"/>
      <w:lvlText w:val="%5."/>
      <w:lvlJc w:val="left"/>
      <w:pPr>
        <w:ind w:left="3600" w:hanging="360"/>
      </w:pPr>
    </w:lvl>
    <w:lvl w:ilvl="5" w:tplc="758A9E4E" w:tentative="1">
      <w:start w:val="1"/>
      <w:numFmt w:val="lowerRoman"/>
      <w:lvlText w:val="%6."/>
      <w:lvlJc w:val="right"/>
      <w:pPr>
        <w:ind w:left="4320" w:hanging="180"/>
      </w:pPr>
    </w:lvl>
    <w:lvl w:ilvl="6" w:tplc="88267FC2" w:tentative="1">
      <w:start w:val="1"/>
      <w:numFmt w:val="decimal"/>
      <w:lvlText w:val="%7."/>
      <w:lvlJc w:val="left"/>
      <w:pPr>
        <w:ind w:left="5040" w:hanging="360"/>
      </w:pPr>
    </w:lvl>
    <w:lvl w:ilvl="7" w:tplc="C2329CF6" w:tentative="1">
      <w:start w:val="1"/>
      <w:numFmt w:val="lowerLetter"/>
      <w:lvlText w:val="%8."/>
      <w:lvlJc w:val="left"/>
      <w:pPr>
        <w:ind w:left="5760" w:hanging="360"/>
      </w:pPr>
    </w:lvl>
    <w:lvl w:ilvl="8" w:tplc="16BEC1F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4"/>
    <w:rsid w:val="0017503A"/>
    <w:rsid w:val="00C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727A05-6550-4603-99C7-29BA4B1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69AD"/>
    <w:rPr>
      <w:sz w:val="16"/>
      <w:szCs w:val="16"/>
    </w:rPr>
  </w:style>
  <w:style w:type="paragraph" w:styleId="CommentText">
    <w:name w:val="annotation text"/>
    <w:basedOn w:val="Normal"/>
    <w:link w:val="CommentTextChar"/>
    <w:semiHidden/>
    <w:unhideWhenUsed/>
    <w:rsid w:val="000E69AD"/>
    <w:rPr>
      <w:sz w:val="20"/>
      <w:szCs w:val="20"/>
    </w:rPr>
  </w:style>
  <w:style w:type="character" w:customStyle="1" w:styleId="CommentTextChar">
    <w:name w:val="Comment Text Char"/>
    <w:basedOn w:val="DefaultParagraphFont"/>
    <w:link w:val="CommentText"/>
    <w:semiHidden/>
    <w:rsid w:val="000E69AD"/>
  </w:style>
  <w:style w:type="paragraph" w:styleId="CommentSubject">
    <w:name w:val="annotation subject"/>
    <w:basedOn w:val="CommentText"/>
    <w:next w:val="CommentText"/>
    <w:link w:val="CommentSubjectChar"/>
    <w:semiHidden/>
    <w:unhideWhenUsed/>
    <w:rsid w:val="000E69AD"/>
    <w:rPr>
      <w:b/>
      <w:bCs/>
    </w:rPr>
  </w:style>
  <w:style w:type="character" w:customStyle="1" w:styleId="CommentSubjectChar">
    <w:name w:val="Comment Subject Char"/>
    <w:basedOn w:val="CommentTextChar"/>
    <w:link w:val="CommentSubject"/>
    <w:semiHidden/>
    <w:rsid w:val="000E69AD"/>
    <w:rPr>
      <w:b/>
      <w:bCs/>
    </w:rPr>
  </w:style>
  <w:style w:type="character" w:styleId="Hyperlink">
    <w:name w:val="Hyperlink"/>
    <w:basedOn w:val="DefaultParagraphFont"/>
    <w:unhideWhenUsed/>
    <w:rsid w:val="00270BF4"/>
    <w:rPr>
      <w:color w:val="0000FF" w:themeColor="hyperlink"/>
      <w:u w:val="single"/>
    </w:rPr>
  </w:style>
  <w:style w:type="character" w:styleId="FollowedHyperlink">
    <w:name w:val="FollowedHyperlink"/>
    <w:basedOn w:val="DefaultParagraphFont"/>
    <w:semiHidden/>
    <w:unhideWhenUsed/>
    <w:rsid w:val="00E57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3921</Characters>
  <Application>Microsoft Office Word</Application>
  <DocSecurity>4</DocSecurity>
  <Lines>91</Lines>
  <Paragraphs>23</Paragraphs>
  <ScaleCrop>false</ScaleCrop>
  <HeadingPairs>
    <vt:vector size="2" baseType="variant">
      <vt:variant>
        <vt:lpstr>Title</vt:lpstr>
      </vt:variant>
      <vt:variant>
        <vt:i4>1</vt:i4>
      </vt:variant>
    </vt:vector>
  </HeadingPairs>
  <TitlesOfParts>
    <vt:vector size="1" baseType="lpstr">
      <vt:lpstr>BA - HJR00082 (Committee Report (Substituted))</vt:lpstr>
    </vt:vector>
  </TitlesOfParts>
  <Company>State of Texas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29730</dc:subject>
  <dc:creator>State of Texas</dc:creator>
  <dc:description>HJR 82 by Craddick-(H)Appropriations (Substitute Document Number: 86R 28283)</dc:description>
  <cp:lastModifiedBy>Laura Ramsay</cp:lastModifiedBy>
  <cp:revision>2</cp:revision>
  <cp:lastPrinted>2003-11-26T17:21:00Z</cp:lastPrinted>
  <dcterms:created xsi:type="dcterms:W3CDTF">2019-04-29T13:38:00Z</dcterms:created>
  <dcterms:modified xsi:type="dcterms:W3CDTF">2019-04-29T13:38:00Z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19.115.1116</vt:lpwstr>
  </property>
</Properties>
</file>