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620C8" w:rsidTr="00345119">
        <w:tc>
          <w:tcPr>
            <w:tcW w:w="9576" w:type="dxa"/>
            <w:noWrap/>
          </w:tcPr>
          <w:p w:rsidR="008423E4" w:rsidRPr="0022177D" w:rsidRDefault="001A66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6670" w:rsidP="008423E4">
      <w:pPr>
        <w:jc w:val="center"/>
      </w:pPr>
    </w:p>
    <w:p w:rsidR="008423E4" w:rsidRPr="00B31F0E" w:rsidRDefault="001A6670" w:rsidP="008423E4"/>
    <w:p w:rsidR="008423E4" w:rsidRPr="00742794" w:rsidRDefault="001A66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20C8" w:rsidTr="00345119">
        <w:tc>
          <w:tcPr>
            <w:tcW w:w="9576" w:type="dxa"/>
          </w:tcPr>
          <w:p w:rsidR="008423E4" w:rsidRPr="00861995" w:rsidRDefault="001A6670" w:rsidP="00345119">
            <w:pPr>
              <w:jc w:val="right"/>
            </w:pPr>
            <w:r>
              <w:t>S.B. 22</w:t>
            </w:r>
          </w:p>
        </w:tc>
      </w:tr>
      <w:tr w:rsidR="00C620C8" w:rsidTr="00345119">
        <w:tc>
          <w:tcPr>
            <w:tcW w:w="9576" w:type="dxa"/>
          </w:tcPr>
          <w:p w:rsidR="008423E4" w:rsidRPr="00861995" w:rsidRDefault="001A6670" w:rsidP="0075366E">
            <w:pPr>
              <w:jc w:val="right"/>
            </w:pPr>
            <w:r>
              <w:t>Campbell</w:t>
            </w:r>
          </w:p>
        </w:tc>
      </w:tr>
      <w:tr w:rsidR="00C620C8" w:rsidTr="00345119">
        <w:tc>
          <w:tcPr>
            <w:tcW w:w="9576" w:type="dxa"/>
          </w:tcPr>
          <w:p w:rsidR="008423E4" w:rsidRPr="00861995" w:rsidRDefault="001A6670" w:rsidP="00345119">
            <w:pPr>
              <w:jc w:val="right"/>
            </w:pPr>
            <w:r>
              <w:t>State Affairs</w:t>
            </w:r>
          </w:p>
        </w:tc>
      </w:tr>
      <w:tr w:rsidR="00C620C8" w:rsidTr="00345119">
        <w:tc>
          <w:tcPr>
            <w:tcW w:w="9576" w:type="dxa"/>
          </w:tcPr>
          <w:p w:rsidR="008423E4" w:rsidRDefault="001A667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6670" w:rsidP="008423E4">
      <w:pPr>
        <w:tabs>
          <w:tab w:val="right" w:pos="9360"/>
        </w:tabs>
      </w:pPr>
    </w:p>
    <w:p w:rsidR="008423E4" w:rsidRDefault="001A6670" w:rsidP="008423E4"/>
    <w:p w:rsidR="008423E4" w:rsidRDefault="001A66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620C8" w:rsidTr="00345119">
        <w:tc>
          <w:tcPr>
            <w:tcW w:w="9576" w:type="dxa"/>
          </w:tcPr>
          <w:p w:rsidR="008423E4" w:rsidRPr="00A8133F" w:rsidRDefault="001A6670" w:rsidP="00A062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6670" w:rsidP="00A06245"/>
          <w:p w:rsidR="008423E4" w:rsidRDefault="001A6670" w:rsidP="00A062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use of </w:t>
            </w:r>
            <w:r>
              <w:t xml:space="preserve">certain </w:t>
            </w:r>
            <w:r>
              <w:t>tax</w:t>
            </w:r>
            <w:r>
              <w:t>payer resources t</w:t>
            </w:r>
            <w:r>
              <w:t xml:space="preserve">o subsidize abortions and those who provide </w:t>
            </w:r>
            <w:r>
              <w:t>abortions</w:t>
            </w:r>
            <w:r>
              <w:t xml:space="preserve">. </w:t>
            </w:r>
            <w:r>
              <w:t xml:space="preserve">It has been </w:t>
            </w:r>
            <w:r>
              <w:t>reported that certain facilities</w:t>
            </w:r>
            <w:r>
              <w:t xml:space="preserve"> </w:t>
            </w:r>
            <w:r w:rsidRPr="00D538B4">
              <w:t>operated by an abortion provider and their affiliates</w:t>
            </w:r>
            <w:r>
              <w:t xml:space="preserve"> have receive</w:t>
            </w:r>
            <w:r>
              <w:t>d</w:t>
            </w:r>
            <w:r>
              <w:t xml:space="preserve"> preferential treatment with regard to leases on publicly owned land</w:t>
            </w:r>
            <w:r>
              <w:t xml:space="preserve"> whereby the lessees are charged a substantially reduced rate on the facility lease, ess</w:t>
            </w:r>
            <w:r>
              <w:t>entially granting these facilities access to taxpayer dollars</w:t>
            </w:r>
            <w:r>
              <w:t xml:space="preserve">. </w:t>
            </w:r>
            <w:r>
              <w:t>S.B. 22 seeks to address these concerns by prohibiting c</w:t>
            </w:r>
            <w:r w:rsidRPr="00E55FBC">
              <w:t xml:space="preserve">ertain </w:t>
            </w:r>
            <w:r>
              <w:t xml:space="preserve">taxpayer resource </w:t>
            </w:r>
            <w:r w:rsidRPr="00E55FBC">
              <w:t>transactions between a</w:t>
            </w:r>
            <w:r>
              <w:t>n applicable</w:t>
            </w:r>
            <w:r w:rsidRPr="00E55FBC">
              <w:t xml:space="preserve"> governmental entity and an abortion provider or </w:t>
            </w:r>
            <w:r>
              <w:t xml:space="preserve">an </w:t>
            </w:r>
            <w:r w:rsidRPr="00E55FBC">
              <w:t>affiliate of the provider</w:t>
            </w:r>
            <w:r>
              <w:t>.</w:t>
            </w:r>
          </w:p>
          <w:p w:rsidR="008423E4" w:rsidRPr="00E26B13" w:rsidRDefault="001A6670" w:rsidP="00A06245">
            <w:pPr>
              <w:rPr>
                <w:b/>
              </w:rPr>
            </w:pPr>
          </w:p>
        </w:tc>
      </w:tr>
      <w:tr w:rsidR="00C620C8" w:rsidTr="00345119">
        <w:tc>
          <w:tcPr>
            <w:tcW w:w="9576" w:type="dxa"/>
          </w:tcPr>
          <w:p w:rsidR="0017725B" w:rsidRDefault="001A6670" w:rsidP="00A062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6670" w:rsidP="00A06245">
            <w:pPr>
              <w:rPr>
                <w:b/>
                <w:u w:val="single"/>
              </w:rPr>
            </w:pPr>
          </w:p>
          <w:p w:rsidR="00543ED5" w:rsidRPr="00543ED5" w:rsidRDefault="001A6670" w:rsidP="00A0624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:rsidR="0017725B" w:rsidRPr="0017725B" w:rsidRDefault="001A6670" w:rsidP="00A06245">
            <w:pPr>
              <w:rPr>
                <w:b/>
                <w:u w:val="single"/>
              </w:rPr>
            </w:pPr>
          </w:p>
        </w:tc>
      </w:tr>
      <w:tr w:rsidR="00C620C8" w:rsidTr="00345119">
        <w:tc>
          <w:tcPr>
            <w:tcW w:w="9576" w:type="dxa"/>
          </w:tcPr>
          <w:p w:rsidR="008423E4" w:rsidRPr="00A8133F" w:rsidRDefault="001A6670" w:rsidP="00A062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6670" w:rsidP="00A06245"/>
          <w:p w:rsidR="00543ED5" w:rsidRDefault="001A6670" w:rsidP="00A062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A6670" w:rsidP="00A06245">
            <w:pPr>
              <w:rPr>
                <w:b/>
              </w:rPr>
            </w:pPr>
          </w:p>
        </w:tc>
      </w:tr>
      <w:tr w:rsidR="00C620C8" w:rsidTr="00345119">
        <w:tc>
          <w:tcPr>
            <w:tcW w:w="9576" w:type="dxa"/>
          </w:tcPr>
          <w:p w:rsidR="008423E4" w:rsidRPr="00A8133F" w:rsidRDefault="001A6670" w:rsidP="00A062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6670" w:rsidP="00A06245"/>
          <w:p w:rsidR="00DA3D50" w:rsidRDefault="001A6670" w:rsidP="00A06245">
            <w:pPr>
              <w:pStyle w:val="Header"/>
              <w:jc w:val="both"/>
            </w:pPr>
            <w:r>
              <w:t>S.B. 22</w:t>
            </w:r>
            <w:r>
              <w:t xml:space="preserve"> amends the </w:t>
            </w:r>
            <w:r>
              <w:t>Government Code</w:t>
            </w:r>
            <w:r>
              <w:t xml:space="preserve"> to prohibit the </w:t>
            </w:r>
            <w:r w:rsidRPr="001B5BF4">
              <w:t>state, a</w:t>
            </w:r>
            <w:r>
              <w:t xml:space="preserve"> </w:t>
            </w:r>
            <w:r w:rsidRPr="001B5BF4">
              <w:t>state agency</w:t>
            </w:r>
            <w:r>
              <w:t>,</w:t>
            </w:r>
            <w:r w:rsidRPr="001B5BF4">
              <w:t xml:space="preserve"> or a political subdivision </w:t>
            </w:r>
            <w:r>
              <w:t xml:space="preserve">of the state </w:t>
            </w:r>
            <w:r>
              <w:t xml:space="preserve">from entering </w:t>
            </w:r>
            <w:r w:rsidRPr="001B5BF4">
              <w:t>into a taxp</w:t>
            </w:r>
            <w:r>
              <w:t>ayer resource transaction</w:t>
            </w:r>
            <w:r>
              <w:t xml:space="preserve"> </w:t>
            </w:r>
            <w:r>
              <w:t xml:space="preserve">with </w:t>
            </w:r>
            <w:r w:rsidRPr="00C12B77">
              <w:t xml:space="preserve">a </w:t>
            </w:r>
            <w:r>
              <w:t xml:space="preserve">licensed abortion </w:t>
            </w:r>
            <w:r w:rsidRPr="00C12B77">
              <w:t xml:space="preserve">facility or a </w:t>
            </w:r>
            <w:r>
              <w:t xml:space="preserve">licensed </w:t>
            </w:r>
            <w:r w:rsidRPr="00C12B77">
              <w:t xml:space="preserve">ambulatory surgical center that is used </w:t>
            </w:r>
            <w:r>
              <w:t>to</w:t>
            </w:r>
            <w:r w:rsidRPr="00CA677A">
              <w:t xml:space="preserve"> perform</w:t>
            </w:r>
            <w:r w:rsidRPr="00CA677A">
              <w:t xml:space="preserve"> more than 50 abortions in any 12-month period</w:t>
            </w:r>
            <w:r w:rsidRPr="001B5BF4">
              <w:t xml:space="preserve"> or </w:t>
            </w:r>
            <w:r>
              <w:t xml:space="preserve">with </w:t>
            </w:r>
            <w:r w:rsidRPr="001B5BF4">
              <w:t xml:space="preserve">an affiliate of </w:t>
            </w:r>
            <w:r>
              <w:t>such a facility</w:t>
            </w:r>
            <w:r>
              <w:t xml:space="preserve"> or center</w:t>
            </w:r>
            <w:r>
              <w:t>.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</w:t>
            </w:r>
            <w:r>
              <w:t xml:space="preserve">bill exempts from that </w:t>
            </w:r>
            <w:r>
              <w:t xml:space="preserve">prohibition a </w:t>
            </w:r>
            <w:r w:rsidRPr="00771D73">
              <w:t xml:space="preserve">taxpayer resource transaction that is subject to a federal law in conflict with </w:t>
            </w:r>
            <w:r>
              <w:t>the prohibition,</w:t>
            </w:r>
            <w:r w:rsidRPr="00771D73">
              <w:t xml:space="preserve"> as determined by the</w:t>
            </w:r>
            <w:r w:rsidRPr="00771D73">
              <w:t xml:space="preserve"> executive commissioner of the Health and Human Services Commission and confirmed in writing by the attorney general</w:t>
            </w:r>
            <w:r>
              <w:t xml:space="preserve">, and </w:t>
            </w:r>
            <w:r>
              <w:t xml:space="preserve">exempts </w:t>
            </w:r>
            <w:r>
              <w:t>the following entities</w:t>
            </w:r>
            <w:r>
              <w:t xml:space="preserve"> from that prohibition</w:t>
            </w:r>
            <w:r>
              <w:t>:</w:t>
            </w:r>
          </w:p>
          <w:p w:rsidR="00DA3D50" w:rsidRDefault="001A6670" w:rsidP="00F95D2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hospital</w:t>
            </w:r>
            <w:r>
              <w:t xml:space="preserve"> licensed under the Texas Hospital Licensing Law</w:t>
            </w:r>
            <w:r>
              <w:t>;</w:t>
            </w:r>
          </w:p>
          <w:p w:rsidR="00DA3D50" w:rsidRDefault="001A6670" w:rsidP="00F95D2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the office of a </w:t>
            </w:r>
            <w:r>
              <w:t>licensed physician that performs 50 or fewer abortions in any 12-month period;</w:t>
            </w:r>
          </w:p>
          <w:p w:rsidR="00DA3D50" w:rsidRDefault="001A6670" w:rsidP="00F95D2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a state hospital operated by the </w:t>
            </w:r>
            <w:r w:rsidRPr="008B1C14">
              <w:t>Department of State Health Services</w:t>
            </w:r>
            <w:r>
              <w:t xml:space="preserve"> </w:t>
            </w:r>
            <w:r w:rsidRPr="008B1C14">
              <w:t>primarily to provide inpatient care and treatment for persons with mental illness</w:t>
            </w:r>
            <w:r>
              <w:t>;</w:t>
            </w:r>
          </w:p>
          <w:p w:rsidR="00DA3D50" w:rsidRDefault="001A6670" w:rsidP="00F95D2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a teaching hospital of a </w:t>
            </w:r>
            <w:r>
              <w:t>public or private institution of higher education; and</w:t>
            </w:r>
          </w:p>
          <w:p w:rsidR="00771D73" w:rsidRDefault="001A6670" w:rsidP="00F95D2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an accredited residency program providing training to resident physicians.</w:t>
            </w:r>
          </w:p>
          <w:p w:rsidR="00771D73" w:rsidRDefault="001A6670" w:rsidP="00F95D23">
            <w:pPr>
              <w:pStyle w:val="Header"/>
              <w:spacing w:before="120" w:after="120"/>
              <w:jc w:val="both"/>
            </w:pPr>
          </w:p>
          <w:p w:rsidR="006F6900" w:rsidRDefault="001A6670" w:rsidP="00A06245">
            <w:pPr>
              <w:pStyle w:val="Header"/>
              <w:jc w:val="both"/>
            </w:pPr>
            <w:r>
              <w:t xml:space="preserve">S.B. </w:t>
            </w:r>
            <w:r>
              <w:t xml:space="preserve">22 </w:t>
            </w:r>
            <w:r>
              <w:t>defines</w:t>
            </w:r>
            <w:r>
              <w:t xml:space="preserve"> "abortion" </w:t>
            </w:r>
            <w:r>
              <w:t xml:space="preserve">by reference to </w:t>
            </w:r>
            <w:r>
              <w:t xml:space="preserve">the meaning </w:t>
            </w:r>
            <w:r>
              <w:t xml:space="preserve">assigned </w:t>
            </w:r>
            <w:r>
              <w:t xml:space="preserve">by </w:t>
            </w:r>
            <w:r w:rsidRPr="00496B95">
              <w:t>the Texas Abortion Facility Reporting and Licensing Act</w:t>
            </w:r>
            <w:r>
              <w:t xml:space="preserve"> </w:t>
            </w:r>
            <w:r>
              <w:t>an</w:t>
            </w:r>
            <w:r>
              <w:t>d</w:t>
            </w:r>
            <w:r>
              <w:t xml:space="preserve"> defin</w:t>
            </w:r>
            <w:r>
              <w:t>es</w:t>
            </w:r>
            <w:r>
              <w:t xml:space="preserve"> </w:t>
            </w:r>
            <w:r>
              <w:t xml:space="preserve">"taxpayer resource transaction" as </w:t>
            </w:r>
            <w:r w:rsidRPr="00C12B77">
              <w:t>any transaction between a</w:t>
            </w:r>
            <w:r>
              <w:t>n applicable</w:t>
            </w:r>
            <w:r w:rsidRPr="00C12B77">
              <w:t xml:space="preserve"> governmental entity and a private entity that provides to the private entity something of value derived from state or local tax revenue, regardless of whether the government</w:t>
            </w:r>
            <w:r w:rsidRPr="00C12B77">
              <w:t>al entity receives something of value in return. The</w:t>
            </w:r>
            <w:r>
              <w:t xml:space="preserve"> bill</w:t>
            </w:r>
            <w:r>
              <w:t>, with respect to the definition of "taxpayer resource transaction":</w:t>
            </w:r>
          </w:p>
          <w:p w:rsidR="00F32739" w:rsidRDefault="001A6670" w:rsidP="00F95D2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establishes that</w:t>
            </w:r>
            <w:r>
              <w:t xml:space="preserve"> the term</w:t>
            </w:r>
            <w:r>
              <w:t xml:space="preserve"> </w:t>
            </w:r>
            <w:r>
              <w:t xml:space="preserve">includes advocacy or lobbying </w:t>
            </w:r>
            <w:r>
              <w:t xml:space="preserve">by or </w:t>
            </w:r>
            <w:r>
              <w:t>on behalf of</w:t>
            </w:r>
            <w:r>
              <w:t xml:space="preserve"> a</w:t>
            </w:r>
            <w:r>
              <w:t>n applicable</w:t>
            </w:r>
            <w:r>
              <w:t xml:space="preserve"> governmental entity on behalf of</w:t>
            </w:r>
            <w:r>
              <w:t xml:space="preserve"> the interests of an </w:t>
            </w:r>
            <w:r>
              <w:t xml:space="preserve">applicable </w:t>
            </w:r>
            <w:r>
              <w:t xml:space="preserve">abortion provider </w:t>
            </w:r>
            <w:r>
              <w:t>or affiliate</w:t>
            </w:r>
            <w:r>
              <w:t>;</w:t>
            </w:r>
            <w:r>
              <w:t xml:space="preserve"> </w:t>
            </w:r>
          </w:p>
          <w:p w:rsidR="00207D1A" w:rsidRDefault="001A6670" w:rsidP="00207D1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establishes that the term does not include </w:t>
            </w:r>
            <w:r>
              <w:t>an officer or employee of a governmental entity</w:t>
            </w:r>
            <w:r>
              <w:t xml:space="preserve"> </w:t>
            </w:r>
            <w:r w:rsidRPr="00207D1A">
              <w:t xml:space="preserve">providing information to a member of the legislature or appearing before a legislative committee at </w:t>
            </w:r>
            <w:r w:rsidRPr="00207D1A">
              <w:t>the request of the member or committee</w:t>
            </w:r>
            <w:r>
              <w:t>;</w:t>
            </w:r>
            <w:r>
              <w:t xml:space="preserve"> </w:t>
            </w:r>
          </w:p>
          <w:p w:rsidR="00207D1A" w:rsidRDefault="001A6670" w:rsidP="00207D1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establishes that the term does not include </w:t>
            </w:r>
            <w:r w:rsidRPr="00207D1A">
              <w:t xml:space="preserve">an elected official advocating for or against or otherwise influencing or attempting to influence the outcome of legislation pending before the legislature while acting in </w:t>
            </w:r>
            <w:r w:rsidRPr="00207D1A">
              <w:t>the capacity of an elected official</w:t>
            </w:r>
            <w:r>
              <w:t xml:space="preserve">; </w:t>
            </w:r>
            <w:r>
              <w:t xml:space="preserve"> </w:t>
            </w:r>
          </w:p>
          <w:p w:rsidR="00F32739" w:rsidRDefault="001A6670" w:rsidP="00207D1A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establishes that the term does not include </w:t>
            </w:r>
            <w:r>
              <w:t>an individual speaking as a private citizen</w:t>
            </w:r>
            <w:r>
              <w:t xml:space="preserve"> on a matter of public concern</w:t>
            </w:r>
            <w:r>
              <w:t>;</w:t>
            </w:r>
            <w:r>
              <w:t xml:space="preserve"> and </w:t>
            </w:r>
          </w:p>
          <w:p w:rsidR="006F6900" w:rsidRDefault="001A6670" w:rsidP="00F95D23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establishes that</w:t>
            </w:r>
            <w:r>
              <w:t xml:space="preserve"> the term</w:t>
            </w:r>
            <w:r>
              <w:t xml:space="preserve"> </w:t>
            </w:r>
            <w:r w:rsidRPr="00C12B77">
              <w:t>does not include the provision</w:t>
            </w:r>
            <w:r>
              <w:t xml:space="preserve"> of basic </w:t>
            </w:r>
            <w:r>
              <w:t xml:space="preserve">public </w:t>
            </w:r>
            <w:r>
              <w:t>services</w:t>
            </w:r>
            <w:r>
              <w:t xml:space="preserve">, including </w:t>
            </w:r>
            <w:r>
              <w:t>fire and police protection and utilities,</w:t>
            </w:r>
            <w:r>
              <w:t xml:space="preserve"> by a governmental entity to an abortion provider or affiliate in the same manner as the entity provides the services to the general public</w:t>
            </w:r>
            <w:r>
              <w:t>.</w:t>
            </w:r>
            <w:r>
              <w:t xml:space="preserve"> </w:t>
            </w:r>
          </w:p>
          <w:p w:rsidR="006F6900" w:rsidRDefault="001A6670" w:rsidP="00A06245">
            <w:pPr>
              <w:pStyle w:val="Header"/>
              <w:jc w:val="both"/>
            </w:pPr>
          </w:p>
          <w:p w:rsidR="00F32739" w:rsidRDefault="001A6670" w:rsidP="00A06245">
            <w:pPr>
              <w:pStyle w:val="Header"/>
              <w:jc w:val="both"/>
            </w:pPr>
            <w:r>
              <w:t>S.B. 22</w:t>
            </w:r>
            <w:r>
              <w:t xml:space="preserve"> </w:t>
            </w:r>
            <w:r>
              <w:t>defines "affiliate" as a person or entity who enters into a lega</w:t>
            </w:r>
            <w:r>
              <w:t xml:space="preserve">l relationship created or governed by at least one written instrument that demonstrates the following: </w:t>
            </w:r>
          </w:p>
          <w:p w:rsidR="00F32739" w:rsidRDefault="001A6670" w:rsidP="00F95D23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common ownership, management, or control between the parties to the relationship; </w:t>
            </w:r>
          </w:p>
          <w:p w:rsidR="00F32739" w:rsidRDefault="001A6670" w:rsidP="00F95D23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a franchise granted by the person or entity to the affiliate; or </w:t>
            </w:r>
          </w:p>
          <w:p w:rsidR="008578F6" w:rsidRDefault="001A6670" w:rsidP="00F95D23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</w:t>
            </w:r>
            <w:r>
              <w:t xml:space="preserve"> granting or extension of a license or other agreement authorizing the affiliate to use the other person's or entity's brand name, trademark, service mark, or other registered identification mark.</w:t>
            </w:r>
          </w:p>
          <w:p w:rsidR="008578F6" w:rsidRDefault="001A6670" w:rsidP="00A06245">
            <w:pPr>
              <w:pStyle w:val="Header"/>
              <w:jc w:val="both"/>
            </w:pPr>
          </w:p>
          <w:p w:rsidR="00A705B1" w:rsidRDefault="001A6670" w:rsidP="00A06245">
            <w:pPr>
              <w:pStyle w:val="Header"/>
              <w:jc w:val="both"/>
            </w:pPr>
            <w:r>
              <w:t>S.B. 22 establishes that a facility is not considered an a</w:t>
            </w:r>
            <w:r>
              <w:t xml:space="preserve">bortion provider </w:t>
            </w:r>
            <w:r>
              <w:t xml:space="preserve">for purposes of its provisions </w:t>
            </w:r>
            <w:r>
              <w:t xml:space="preserve">solely </w:t>
            </w:r>
            <w:r w:rsidRPr="00807613">
              <w:t xml:space="preserve">based on the performance of an abortion at the facility </w:t>
            </w:r>
            <w:r>
              <w:t>as the result of</w:t>
            </w:r>
            <w:r w:rsidRPr="00807613">
              <w:t xml:space="preserve"> </w:t>
            </w:r>
            <w:r w:rsidRPr="00807613">
              <w:t xml:space="preserve">a </w:t>
            </w:r>
            <w:r>
              <w:t xml:space="preserve">life-threatening </w:t>
            </w:r>
            <w:r>
              <w:t>physical condition aggravated by, caused by, or arising from</w:t>
            </w:r>
            <w:r>
              <w:t xml:space="preserve"> a pregnancy that, </w:t>
            </w:r>
            <w:r w:rsidRPr="00807613">
              <w:t>as certified by a physician, p</w:t>
            </w:r>
            <w:r w:rsidRPr="00807613">
              <w:t>laces the woman in danger of death or a serious risk of substantial impairment of a major bodily function unless an abortion is performed</w:t>
            </w:r>
            <w:r>
              <w:t>.</w:t>
            </w:r>
          </w:p>
          <w:p w:rsidR="00A705B1" w:rsidRDefault="001A6670" w:rsidP="00A06245">
            <w:pPr>
              <w:pStyle w:val="Header"/>
              <w:jc w:val="both"/>
            </w:pPr>
          </w:p>
          <w:p w:rsidR="00B9576B" w:rsidRDefault="001A6670" w:rsidP="00A06245">
            <w:pPr>
              <w:pStyle w:val="Header"/>
              <w:jc w:val="both"/>
            </w:pPr>
            <w:r>
              <w:t>S.B. 22</w:t>
            </w:r>
            <w:r>
              <w:t xml:space="preserve"> authorizes the </w:t>
            </w:r>
            <w:r w:rsidRPr="00AC02B6">
              <w:t xml:space="preserve">attorney general </w:t>
            </w:r>
            <w:r>
              <w:t>to</w:t>
            </w:r>
            <w:r w:rsidRPr="00AC02B6">
              <w:t xml:space="preserve"> bring an action in the name of the state to enjoin a violation of </w:t>
            </w:r>
            <w:r>
              <w:t xml:space="preserve">the </w:t>
            </w:r>
            <w:r>
              <w:t>prohibition on taxpayer resource transactions with an abortion provider or affiliate</w:t>
            </w:r>
            <w:r>
              <w:t xml:space="preserve"> and </w:t>
            </w:r>
            <w:r>
              <w:t>provides for the recovery of</w:t>
            </w:r>
            <w:r w:rsidRPr="00AC02B6">
              <w:t xml:space="preserve"> reasonable attorney's fees and costs incurred in bringing </w:t>
            </w:r>
            <w:r>
              <w:t>the</w:t>
            </w:r>
            <w:r>
              <w:t xml:space="preserve"> action. The bill waives sovereign </w:t>
            </w:r>
            <w:r w:rsidRPr="00AC02B6">
              <w:t>or governmental immunity, as applicable, o</w:t>
            </w:r>
            <w:r w:rsidRPr="00AC02B6">
              <w:t>f a governmental entity to suit and from liability to the extent of liability created by</w:t>
            </w:r>
            <w:r>
              <w:t xml:space="preserve"> </w:t>
            </w:r>
            <w:r>
              <w:t>that authorization</w:t>
            </w:r>
            <w:r>
              <w:t>.</w:t>
            </w:r>
          </w:p>
          <w:p w:rsidR="008423E4" w:rsidRPr="00835628" w:rsidRDefault="001A6670" w:rsidP="00A06245">
            <w:pPr>
              <w:pStyle w:val="Header"/>
              <w:jc w:val="both"/>
              <w:rPr>
                <w:b/>
              </w:rPr>
            </w:pPr>
          </w:p>
        </w:tc>
      </w:tr>
      <w:tr w:rsidR="00C620C8" w:rsidTr="00345119">
        <w:tc>
          <w:tcPr>
            <w:tcW w:w="9576" w:type="dxa"/>
          </w:tcPr>
          <w:p w:rsidR="008423E4" w:rsidRPr="00A8133F" w:rsidRDefault="001A6670" w:rsidP="00A062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6670" w:rsidP="00A06245"/>
          <w:p w:rsidR="008423E4" w:rsidRPr="003624F2" w:rsidRDefault="001A6670" w:rsidP="00A062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</w:t>
            </w:r>
            <w:r>
              <w:t xml:space="preserve">, or, if the bill does not receive the necessary vote, </w:t>
            </w:r>
            <w:r>
              <w:t>September 1, 2019</w:t>
            </w:r>
            <w:r w:rsidRPr="00356818">
              <w:t>.</w:t>
            </w:r>
          </w:p>
          <w:p w:rsidR="008423E4" w:rsidRPr="00233FDB" w:rsidRDefault="001A6670" w:rsidP="00A06245">
            <w:pPr>
              <w:rPr>
                <w:b/>
              </w:rPr>
            </w:pPr>
          </w:p>
        </w:tc>
      </w:tr>
    </w:tbl>
    <w:p w:rsidR="008423E4" w:rsidRPr="00BE0E75" w:rsidRDefault="001A667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667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670">
      <w:r>
        <w:separator/>
      </w:r>
    </w:p>
  </w:endnote>
  <w:endnote w:type="continuationSeparator" w:id="0">
    <w:p w:rsidR="00000000" w:rsidRDefault="001A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0E" w:rsidRDefault="001A6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20C8" w:rsidTr="009C1E9A">
      <w:trPr>
        <w:cantSplit/>
      </w:trPr>
      <w:tc>
        <w:tcPr>
          <w:tcW w:w="0" w:type="pct"/>
        </w:tcPr>
        <w:p w:rsidR="00137D90" w:rsidRDefault="001A66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66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66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66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66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20C8" w:rsidTr="009C1E9A">
      <w:trPr>
        <w:cantSplit/>
      </w:trPr>
      <w:tc>
        <w:tcPr>
          <w:tcW w:w="0" w:type="pct"/>
        </w:tcPr>
        <w:p w:rsidR="00EC379B" w:rsidRDefault="001A66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66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28081</w:t>
          </w:r>
        </w:p>
      </w:tc>
      <w:tc>
        <w:tcPr>
          <w:tcW w:w="2453" w:type="pct"/>
        </w:tcPr>
        <w:p w:rsidR="00EC379B" w:rsidRDefault="001A6670" w:rsidP="008B1C14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19.106.757</w:t>
          </w:r>
          <w:r>
            <w:fldChar w:fldCharType="end"/>
          </w:r>
        </w:p>
      </w:tc>
    </w:tr>
    <w:tr w:rsidR="00C620C8" w:rsidTr="009C1E9A">
      <w:trPr>
        <w:cantSplit/>
      </w:trPr>
      <w:tc>
        <w:tcPr>
          <w:tcW w:w="0" w:type="pct"/>
        </w:tcPr>
        <w:p w:rsidR="00EC379B" w:rsidRDefault="001A66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66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6670" w:rsidP="006D504F">
          <w:pPr>
            <w:pStyle w:val="Footer"/>
            <w:rPr>
              <w:rStyle w:val="PageNumber"/>
            </w:rPr>
          </w:pPr>
        </w:p>
        <w:p w:rsidR="00EC379B" w:rsidRDefault="001A66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20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66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A66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66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0E" w:rsidRDefault="001A6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670">
      <w:r>
        <w:separator/>
      </w:r>
    </w:p>
  </w:footnote>
  <w:footnote w:type="continuationSeparator" w:id="0">
    <w:p w:rsidR="00000000" w:rsidRDefault="001A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0E" w:rsidRDefault="001A6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0E" w:rsidRDefault="001A6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0E" w:rsidRDefault="001A6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61D"/>
    <w:multiLevelType w:val="hybridMultilevel"/>
    <w:tmpl w:val="AB988E7A"/>
    <w:lvl w:ilvl="0" w:tplc="C9404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44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2B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A2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84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E3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A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08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0B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5880"/>
    <w:multiLevelType w:val="hybridMultilevel"/>
    <w:tmpl w:val="E1CAB10E"/>
    <w:lvl w:ilvl="0" w:tplc="065E8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6D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AF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6E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E5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A0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0C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0D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2D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64D6"/>
    <w:multiLevelType w:val="hybridMultilevel"/>
    <w:tmpl w:val="53E6274E"/>
    <w:lvl w:ilvl="0" w:tplc="6888C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2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EF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3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8D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AA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23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AD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CC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35EF"/>
    <w:multiLevelType w:val="hybridMultilevel"/>
    <w:tmpl w:val="1EE6DF7E"/>
    <w:lvl w:ilvl="0" w:tplc="BC98B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20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6B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04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EB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A4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C1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8E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EE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C7555"/>
    <w:multiLevelType w:val="hybridMultilevel"/>
    <w:tmpl w:val="0CA0D846"/>
    <w:lvl w:ilvl="0" w:tplc="60980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4F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E7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0D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42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AB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ED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CA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62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90C6C"/>
    <w:multiLevelType w:val="hybridMultilevel"/>
    <w:tmpl w:val="7B2A7262"/>
    <w:lvl w:ilvl="0" w:tplc="BBB82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E6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82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A9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C5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C0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CF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2F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82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C8"/>
    <w:rsid w:val="001A6670"/>
    <w:rsid w:val="00C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34D05C-A53A-49AA-83AE-CEB29539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02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02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2B6"/>
    <w:rPr>
      <w:b/>
      <w:bCs/>
    </w:rPr>
  </w:style>
  <w:style w:type="character" w:styleId="Hyperlink">
    <w:name w:val="Hyperlink"/>
    <w:basedOn w:val="DefaultParagraphFont"/>
    <w:unhideWhenUsed/>
    <w:rsid w:val="00893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4680</Characters>
  <Application>Microsoft Office Word</Application>
  <DocSecurity>4</DocSecurity>
  <Lines>97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SB00022 (Committee Report (Unamended))</vt:lpstr>
    </vt:vector>
  </TitlesOfParts>
  <Company>State of Texas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28081</dc:subject>
  <dc:creator>State of Texas</dc:creator>
  <dc:description>SB 22 by Campbell-(H)State Affairs</dc:description>
  <cp:lastModifiedBy>Laura Ramsay</cp:lastModifiedBy>
  <cp:revision>2</cp:revision>
  <cp:lastPrinted>2003-11-26T17:21:00Z</cp:lastPrinted>
  <dcterms:created xsi:type="dcterms:W3CDTF">2019-04-17T16:20:00Z</dcterms:created>
  <dcterms:modified xsi:type="dcterms:W3CDTF">2019-04-17T16:20:00Z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19.106.757</vt:lpwstr>
  </property>
</Properties>
</file>