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1FED" w:rsidTr="00345119">
        <w:tc>
          <w:tcPr>
            <w:tcW w:w="9576" w:type="dxa"/>
            <w:noWrap/>
          </w:tcPr>
          <w:p w:rsidR="008423E4" w:rsidRPr="0022177D" w:rsidRDefault="009153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53AA" w:rsidP="008423E4">
      <w:pPr>
        <w:jc w:val="center"/>
      </w:pPr>
    </w:p>
    <w:p w:rsidR="008423E4" w:rsidRPr="00B31F0E" w:rsidRDefault="009153AA" w:rsidP="008423E4"/>
    <w:p w:rsidR="008423E4" w:rsidRPr="00742794" w:rsidRDefault="009153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1FED" w:rsidTr="00345119">
        <w:tc>
          <w:tcPr>
            <w:tcW w:w="9576" w:type="dxa"/>
          </w:tcPr>
          <w:p w:rsidR="008423E4" w:rsidRPr="00861995" w:rsidRDefault="009153AA" w:rsidP="00345119">
            <w:pPr>
              <w:jc w:val="right"/>
            </w:pPr>
            <w:r>
              <w:t>S.B. 24</w:t>
            </w:r>
          </w:p>
        </w:tc>
      </w:tr>
      <w:tr w:rsidR="00F91FED" w:rsidTr="00345119">
        <w:tc>
          <w:tcPr>
            <w:tcW w:w="9576" w:type="dxa"/>
          </w:tcPr>
          <w:p w:rsidR="008423E4" w:rsidRPr="00861995" w:rsidRDefault="009153AA" w:rsidP="00110DCD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F91FED" w:rsidTr="00345119">
        <w:tc>
          <w:tcPr>
            <w:tcW w:w="9576" w:type="dxa"/>
          </w:tcPr>
          <w:p w:rsidR="008423E4" w:rsidRPr="00861995" w:rsidRDefault="009153AA" w:rsidP="00345119">
            <w:pPr>
              <w:jc w:val="right"/>
            </w:pPr>
            <w:r>
              <w:t>Public Health</w:t>
            </w:r>
          </w:p>
        </w:tc>
      </w:tr>
      <w:tr w:rsidR="00F91FED" w:rsidTr="00345119">
        <w:tc>
          <w:tcPr>
            <w:tcW w:w="9576" w:type="dxa"/>
          </w:tcPr>
          <w:p w:rsidR="008423E4" w:rsidRDefault="009153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53AA" w:rsidP="008423E4">
      <w:pPr>
        <w:tabs>
          <w:tab w:val="right" w:pos="9360"/>
        </w:tabs>
      </w:pPr>
    </w:p>
    <w:p w:rsidR="008423E4" w:rsidRDefault="009153AA" w:rsidP="008423E4"/>
    <w:p w:rsidR="008423E4" w:rsidRDefault="009153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1FED" w:rsidTr="00345119">
        <w:tc>
          <w:tcPr>
            <w:tcW w:w="9576" w:type="dxa"/>
          </w:tcPr>
          <w:p w:rsidR="008423E4" w:rsidRPr="00A8133F" w:rsidRDefault="009153AA" w:rsidP="001838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53AA" w:rsidP="00183856"/>
          <w:p w:rsidR="008423E4" w:rsidRDefault="009153AA" w:rsidP="00183856">
            <w:pPr>
              <w:pStyle w:val="Header"/>
              <w:jc w:val="both"/>
            </w:pPr>
            <w:r>
              <w:t>D</w:t>
            </w:r>
            <w:r>
              <w:t xml:space="preserve">ata obtained by </w:t>
            </w:r>
            <w:r>
              <w:t xml:space="preserve">the Department of State Health Services </w:t>
            </w:r>
            <w:r>
              <w:t xml:space="preserve">reportedly </w:t>
            </w:r>
            <w:r>
              <w:t xml:space="preserve">shows a </w:t>
            </w:r>
            <w:r>
              <w:t>discrepancy</w:t>
            </w:r>
            <w:r>
              <w:t xml:space="preserve"> </w:t>
            </w:r>
            <w:r>
              <w:t>between</w:t>
            </w:r>
            <w:r>
              <w:t xml:space="preserve"> the number of resource materials</w:t>
            </w:r>
            <w:r>
              <w:t xml:space="preserve"> to be provided to a pregnant woman seeking </w:t>
            </w:r>
            <w:r>
              <w:t xml:space="preserve">an </w:t>
            </w:r>
            <w:r>
              <w:t>abortion that are</w:t>
            </w:r>
            <w:r>
              <w:t xml:space="preserve"> shipped and downloaded </w:t>
            </w:r>
            <w:r>
              <w:t>and</w:t>
            </w:r>
            <w:r>
              <w:t xml:space="preserve"> the number of abortions performed each year. </w:t>
            </w:r>
            <w:r>
              <w:t>There are concerns that t</w:t>
            </w:r>
            <w:r>
              <w:t xml:space="preserve">his </w:t>
            </w:r>
            <w:r>
              <w:t xml:space="preserve">discrepancy </w:t>
            </w:r>
            <w:r>
              <w:t xml:space="preserve">illustrates negligence by certain providers in complying with </w:t>
            </w:r>
            <w:r>
              <w:t xml:space="preserve">requirements to </w:t>
            </w:r>
            <w:r>
              <w:t>provide the material</w:t>
            </w:r>
            <w:r>
              <w:t xml:space="preserve">. There are </w:t>
            </w:r>
            <w:r>
              <w:t xml:space="preserve">also </w:t>
            </w:r>
            <w:r>
              <w:t xml:space="preserve">suggestions </w:t>
            </w:r>
            <w:r>
              <w:t>that</w:t>
            </w:r>
            <w:r>
              <w:t xml:space="preserve"> </w:t>
            </w:r>
            <w:r>
              <w:t xml:space="preserve">certain </w:t>
            </w:r>
            <w:r>
              <w:t>clarification is needed to ensure pre-procedure informational consultations by telephone are conducted in private</w:t>
            </w:r>
            <w:r>
              <w:t xml:space="preserve"> </w:t>
            </w:r>
            <w:r>
              <w:t xml:space="preserve">to ensure personal attention in an intimidation-free setting. S.B. 24 </w:t>
            </w:r>
            <w:r>
              <w:t>seeks to a</w:t>
            </w:r>
            <w:r>
              <w:t>ddress these concerns by specifying that</w:t>
            </w:r>
            <w:r>
              <w:t xml:space="preserve"> such</w:t>
            </w:r>
            <w:r>
              <w:t xml:space="preserve"> </w:t>
            </w:r>
            <w:r>
              <w:t xml:space="preserve">telephone consultations </w:t>
            </w:r>
            <w:r>
              <w:t xml:space="preserve">must be </w:t>
            </w:r>
            <w:r>
              <w:t xml:space="preserve">private and </w:t>
            </w:r>
            <w:r>
              <w:t>by requiring</w:t>
            </w:r>
            <w:r>
              <w:t xml:space="preserve"> a physician who is to perform an abortion, or the physician's designee, </w:t>
            </w:r>
            <w:r>
              <w:t xml:space="preserve">in person </w:t>
            </w:r>
            <w:r>
              <w:t>to hand the required</w:t>
            </w:r>
            <w:r>
              <w:t xml:space="preserve"> information</w:t>
            </w:r>
            <w:r>
              <w:t>al</w:t>
            </w:r>
            <w:r>
              <w:t xml:space="preserve"> material</w:t>
            </w:r>
            <w:r>
              <w:t>s</w:t>
            </w:r>
            <w:r>
              <w:t xml:space="preserve"> to a pregnant woman</w:t>
            </w:r>
            <w:r>
              <w:t xml:space="preserve"> within a specified period before an abortion</w:t>
            </w:r>
            <w:r>
              <w:t xml:space="preserve">.  </w:t>
            </w:r>
          </w:p>
          <w:p w:rsidR="008423E4" w:rsidRPr="00E26B13" w:rsidRDefault="009153AA" w:rsidP="00183856">
            <w:pPr>
              <w:rPr>
                <w:b/>
              </w:rPr>
            </w:pPr>
          </w:p>
        </w:tc>
      </w:tr>
      <w:tr w:rsidR="00F91FED" w:rsidTr="00345119">
        <w:tc>
          <w:tcPr>
            <w:tcW w:w="9576" w:type="dxa"/>
          </w:tcPr>
          <w:p w:rsidR="0017725B" w:rsidRDefault="009153AA" w:rsidP="001838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166DA2" w:rsidRDefault="009153AA" w:rsidP="00183856">
            <w:pPr>
              <w:rPr>
                <w:b/>
                <w:sz w:val="22"/>
                <w:szCs w:val="22"/>
                <w:u w:val="single"/>
              </w:rPr>
            </w:pPr>
          </w:p>
          <w:p w:rsidR="00921A8D" w:rsidRPr="00921A8D" w:rsidRDefault="009153AA" w:rsidP="0018385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66DA2" w:rsidRDefault="009153AA" w:rsidP="0018385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91FED" w:rsidTr="00345119">
        <w:tc>
          <w:tcPr>
            <w:tcW w:w="9576" w:type="dxa"/>
          </w:tcPr>
          <w:p w:rsidR="008423E4" w:rsidRPr="00A8133F" w:rsidRDefault="009153AA" w:rsidP="001838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166DA2" w:rsidRDefault="009153AA" w:rsidP="00183856">
            <w:pPr>
              <w:rPr>
                <w:sz w:val="20"/>
                <w:szCs w:val="20"/>
              </w:rPr>
            </w:pPr>
          </w:p>
          <w:p w:rsidR="00921A8D" w:rsidRDefault="009153AA" w:rsidP="001838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166DA2" w:rsidRDefault="009153AA" w:rsidP="00183856">
            <w:pPr>
              <w:rPr>
                <w:b/>
                <w:sz w:val="20"/>
                <w:szCs w:val="20"/>
              </w:rPr>
            </w:pPr>
          </w:p>
        </w:tc>
      </w:tr>
      <w:tr w:rsidR="00F91FED" w:rsidTr="00345119">
        <w:tc>
          <w:tcPr>
            <w:tcW w:w="9576" w:type="dxa"/>
          </w:tcPr>
          <w:p w:rsidR="008423E4" w:rsidRPr="00A8133F" w:rsidRDefault="009153AA" w:rsidP="001838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166DA2" w:rsidRDefault="009153AA" w:rsidP="00183856">
            <w:pPr>
              <w:rPr>
                <w:sz w:val="20"/>
                <w:szCs w:val="20"/>
              </w:rPr>
            </w:pPr>
          </w:p>
          <w:p w:rsidR="00A03D2A" w:rsidRDefault="009153AA" w:rsidP="00183856">
            <w:pPr>
              <w:pStyle w:val="Header"/>
              <w:jc w:val="both"/>
            </w:pPr>
            <w:r>
              <w:t>S</w:t>
            </w:r>
            <w:r>
              <w:t xml:space="preserve">.B. 24 amends the Health and Safety Code to specify that </w:t>
            </w:r>
            <w:r>
              <w:t>the telephone</w:t>
            </w:r>
            <w:r>
              <w:t xml:space="preserve"> call </w:t>
            </w:r>
            <w:r>
              <w:t xml:space="preserve">that may be </w:t>
            </w:r>
            <w:r>
              <w:t xml:space="preserve">used to </w:t>
            </w:r>
            <w:r>
              <w:t xml:space="preserve">convey </w:t>
            </w:r>
            <w:r>
              <w:t xml:space="preserve">certain </w:t>
            </w:r>
            <w:r>
              <w:t xml:space="preserve">applicable </w:t>
            </w:r>
            <w:r>
              <w:t xml:space="preserve">information required to be provided </w:t>
            </w:r>
            <w:r>
              <w:t>by telephone under certain circumstances</w:t>
            </w:r>
            <w:r>
              <w:t>, with respect to vo</w:t>
            </w:r>
            <w:r>
              <w:t>luntary and informed consent to an abortion,</w:t>
            </w:r>
            <w:r>
              <w:t xml:space="preserve"> </w:t>
            </w:r>
            <w:r>
              <w:t xml:space="preserve">to </w:t>
            </w:r>
            <w:r>
              <w:t>a pregnant woman on whom an abortion is to be performed</w:t>
            </w:r>
            <w:r>
              <w:t xml:space="preserve"> </w:t>
            </w:r>
            <w:r>
              <w:t xml:space="preserve">must be </w:t>
            </w:r>
            <w:r>
              <w:t>a private telephone call</w:t>
            </w:r>
            <w:r>
              <w:t>. The bill requires a physician who is to perform an abortion</w:t>
            </w:r>
            <w:r>
              <w:t>,</w:t>
            </w:r>
            <w:r>
              <w:t xml:space="preserve"> or the physician's designee</w:t>
            </w:r>
            <w:r>
              <w:t>,</w:t>
            </w:r>
            <w:r>
              <w:t xml:space="preserve"> </w:t>
            </w:r>
            <w:r>
              <w:t xml:space="preserve">in person </w:t>
            </w:r>
            <w:r>
              <w:t xml:space="preserve">to </w:t>
            </w:r>
            <w:r>
              <w:t>hand</w:t>
            </w:r>
            <w:r w:rsidRPr="003B1371">
              <w:t xml:space="preserve"> a copy of </w:t>
            </w:r>
            <w:r>
              <w:t>certain state</w:t>
            </w:r>
            <w:r>
              <w:t xml:space="preserve"> </w:t>
            </w:r>
            <w:r w:rsidRPr="003B1371">
              <w:t>informational materials</w:t>
            </w:r>
            <w:r>
              <w:t xml:space="preserve"> relating to informed consent to an abortion</w:t>
            </w:r>
            <w:r>
              <w:t xml:space="preserve"> </w:t>
            </w:r>
            <w:r>
              <w:t>as follows</w:t>
            </w:r>
            <w:r>
              <w:t>:</w:t>
            </w:r>
          </w:p>
          <w:p w:rsidR="00A03D2A" w:rsidRDefault="009153AA" w:rsidP="0018385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on the day of the required consultation for a pregnant woman who lives less than 100 miles from the nearest abortion provider that is a facility licensed under th</w:t>
            </w:r>
            <w:r>
              <w:t xml:space="preserve">e Texas Abortion Facility Reporting and Licensing Act or a facility </w:t>
            </w:r>
            <w:r>
              <w:t>in which</w:t>
            </w:r>
            <w:r>
              <w:t xml:space="preserve"> more than 50 abortions</w:t>
            </w:r>
            <w:r>
              <w:t xml:space="preserve"> are performed</w:t>
            </w:r>
            <w:r>
              <w:t xml:space="preserve"> in any 12-month period; or </w:t>
            </w:r>
          </w:p>
          <w:p w:rsidR="008423E4" w:rsidRDefault="009153AA" w:rsidP="0018385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before any sedative or anesthesia is administered to the pregnant woman on the day of the abortion and at least tw</w:t>
            </w:r>
            <w:r>
              <w:t>o hours before the abortion if the woman lives 100 miles or more from the nearest abortion provider</w:t>
            </w:r>
            <w:r>
              <w:t xml:space="preserve"> that is a facility licensed under the Texas Abortion Facility Reporting and Licensing Act or is a facility in which more than 50 abortions are performed in </w:t>
            </w:r>
            <w:r>
              <w:t>any 12-month period</w:t>
            </w:r>
            <w:r>
              <w:t>.</w:t>
            </w:r>
            <w:r>
              <w:t xml:space="preserve">  </w:t>
            </w:r>
          </w:p>
          <w:p w:rsidR="008423E4" w:rsidRPr="00166DA2" w:rsidRDefault="009153AA" w:rsidP="00183856">
            <w:pPr>
              <w:rPr>
                <w:b/>
                <w:sz w:val="20"/>
                <w:szCs w:val="20"/>
              </w:rPr>
            </w:pPr>
          </w:p>
        </w:tc>
      </w:tr>
      <w:tr w:rsidR="00F91FED" w:rsidTr="00345119">
        <w:tc>
          <w:tcPr>
            <w:tcW w:w="9576" w:type="dxa"/>
          </w:tcPr>
          <w:p w:rsidR="008423E4" w:rsidRPr="00A8133F" w:rsidRDefault="009153AA" w:rsidP="001838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66DA2" w:rsidRDefault="009153AA" w:rsidP="00183856">
            <w:pPr>
              <w:rPr>
                <w:sz w:val="20"/>
                <w:szCs w:val="20"/>
              </w:rPr>
            </w:pPr>
          </w:p>
          <w:p w:rsidR="008423E4" w:rsidRPr="00233FDB" w:rsidRDefault="009153AA" w:rsidP="001838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21A8D">
              <w:t>September 1, 2019.</w:t>
            </w:r>
          </w:p>
        </w:tc>
      </w:tr>
    </w:tbl>
    <w:p w:rsidR="004108C3" w:rsidRPr="008423E4" w:rsidRDefault="009153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53AA">
      <w:r>
        <w:separator/>
      </w:r>
    </w:p>
  </w:endnote>
  <w:endnote w:type="continuationSeparator" w:id="0">
    <w:p w:rsidR="00000000" w:rsidRDefault="0091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1FED" w:rsidTr="009C1E9A">
      <w:trPr>
        <w:cantSplit/>
      </w:trPr>
      <w:tc>
        <w:tcPr>
          <w:tcW w:w="0" w:type="pct"/>
        </w:tcPr>
        <w:p w:rsidR="00137D90" w:rsidRDefault="00915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5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53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5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5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FED" w:rsidTr="009C1E9A">
      <w:trPr>
        <w:cantSplit/>
      </w:trPr>
      <w:tc>
        <w:tcPr>
          <w:tcW w:w="0" w:type="pct"/>
        </w:tcPr>
        <w:p w:rsidR="00EC379B" w:rsidRDefault="009153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53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35037</w:t>
          </w:r>
        </w:p>
      </w:tc>
      <w:tc>
        <w:tcPr>
          <w:tcW w:w="2453" w:type="pct"/>
        </w:tcPr>
        <w:p w:rsidR="00EC379B" w:rsidRDefault="00915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19.137.167</w:t>
          </w:r>
          <w:r>
            <w:fldChar w:fldCharType="end"/>
          </w:r>
        </w:p>
      </w:tc>
    </w:tr>
    <w:tr w:rsidR="00F91FED" w:rsidTr="009C1E9A">
      <w:trPr>
        <w:cantSplit/>
      </w:trPr>
      <w:tc>
        <w:tcPr>
          <w:tcW w:w="0" w:type="pct"/>
        </w:tcPr>
        <w:p w:rsidR="00EC379B" w:rsidRDefault="00915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53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53AA" w:rsidP="006D504F">
          <w:pPr>
            <w:pStyle w:val="Footer"/>
            <w:rPr>
              <w:rStyle w:val="PageNumber"/>
            </w:rPr>
          </w:pPr>
        </w:p>
        <w:p w:rsidR="00EC379B" w:rsidRDefault="009153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F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53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153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53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53AA">
      <w:r>
        <w:separator/>
      </w:r>
    </w:p>
  </w:footnote>
  <w:footnote w:type="continuationSeparator" w:id="0">
    <w:p w:rsidR="00000000" w:rsidRDefault="0091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15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1F12"/>
    <w:multiLevelType w:val="hybridMultilevel"/>
    <w:tmpl w:val="3828A2BE"/>
    <w:lvl w:ilvl="0" w:tplc="89B4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2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C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06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E6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2B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AA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CA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06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D"/>
    <w:rsid w:val="009153AA"/>
    <w:rsid w:val="00F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7E53A8-35E3-4302-8350-513CAE6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1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1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1A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2377</Characters>
  <Application>Microsoft Office Word</Application>
  <DocSecurity>4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SB00024 (Committee Report (Unamended))</vt:lpstr>
    </vt:vector>
  </TitlesOfParts>
  <Company>State of Texas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35037</dc:subject>
  <dc:creator>State of Texas</dc:creator>
  <dc:description>SB 24 by Lucio-(H)Public Health</dc:description>
  <cp:lastModifiedBy>Scotty Wimberley</cp:lastModifiedBy>
  <cp:revision>2</cp:revision>
  <cp:lastPrinted>2003-11-26T17:21:00Z</cp:lastPrinted>
  <dcterms:created xsi:type="dcterms:W3CDTF">2019-05-17T21:18:00Z</dcterms:created>
  <dcterms:modified xsi:type="dcterms:W3CDTF">2019-05-17T21:18:00Z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19.137.167</vt:lpwstr>
  </property>
</Properties>
</file>