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066C97" w:rsidTr="00345119">
        <w:tc>
          <w:tcPr>
            <w:tcW w:w="9576" w:type="dxa"/>
            <w:noWrap/>
          </w:tcPr>
          <w:p w:rsidR="008423E4" w:rsidRPr="0022177D" w:rsidRDefault="006118DD" w:rsidP="00345119">
            <w:pPr>
              <w:pStyle w:val="Heading1"/>
            </w:pPr>
            <w:bookmarkStart w:id="0" w:name="_GoBack"/>
            <w:bookmarkEnd w:id="0"/>
            <w:r w:rsidRPr="00631897">
              <w:t>BILL ANALYSIS</w:t>
            </w:r>
          </w:p>
        </w:tc>
      </w:tr>
    </w:tbl>
    <w:p w:rsidR="008423E4" w:rsidRPr="0022177D" w:rsidRDefault="006118DD" w:rsidP="008423E4">
      <w:pPr>
        <w:jc w:val="center"/>
      </w:pPr>
    </w:p>
    <w:p w:rsidR="008423E4" w:rsidRPr="00B31F0E" w:rsidRDefault="006118DD" w:rsidP="008423E4"/>
    <w:p w:rsidR="008423E4" w:rsidRPr="00742794" w:rsidRDefault="006118DD" w:rsidP="008423E4">
      <w:pPr>
        <w:tabs>
          <w:tab w:val="right" w:pos="9360"/>
        </w:tabs>
      </w:pPr>
    </w:p>
    <w:tbl>
      <w:tblPr>
        <w:tblW w:w="0" w:type="auto"/>
        <w:tblLayout w:type="fixed"/>
        <w:tblLook w:val="01E0" w:firstRow="1" w:lastRow="1" w:firstColumn="1" w:lastColumn="1" w:noHBand="0" w:noVBand="0"/>
      </w:tblPr>
      <w:tblGrid>
        <w:gridCol w:w="9576"/>
      </w:tblGrid>
      <w:tr w:rsidR="00066C97" w:rsidTr="00345119">
        <w:tc>
          <w:tcPr>
            <w:tcW w:w="9576" w:type="dxa"/>
          </w:tcPr>
          <w:p w:rsidR="008423E4" w:rsidRPr="00861995" w:rsidRDefault="006118DD" w:rsidP="00345119">
            <w:pPr>
              <w:jc w:val="right"/>
            </w:pPr>
            <w:r>
              <w:t>S.B. 30</w:t>
            </w:r>
          </w:p>
        </w:tc>
      </w:tr>
      <w:tr w:rsidR="00066C97" w:rsidTr="00345119">
        <w:tc>
          <w:tcPr>
            <w:tcW w:w="9576" w:type="dxa"/>
          </w:tcPr>
          <w:p w:rsidR="008423E4" w:rsidRPr="00861995" w:rsidRDefault="006118DD" w:rsidP="00894FAE">
            <w:pPr>
              <w:jc w:val="right"/>
            </w:pPr>
            <w:r>
              <w:t xml:space="preserve">By: </w:t>
            </w:r>
            <w:r>
              <w:t>Birdwell</w:t>
            </w:r>
          </w:p>
        </w:tc>
      </w:tr>
      <w:tr w:rsidR="00066C97" w:rsidTr="00345119">
        <w:tc>
          <w:tcPr>
            <w:tcW w:w="9576" w:type="dxa"/>
          </w:tcPr>
          <w:p w:rsidR="008423E4" w:rsidRPr="00861995" w:rsidRDefault="006118DD" w:rsidP="00345119">
            <w:pPr>
              <w:jc w:val="right"/>
            </w:pPr>
            <w:r>
              <w:t>Pensions, Investments &amp; Financial Services</w:t>
            </w:r>
          </w:p>
        </w:tc>
      </w:tr>
      <w:tr w:rsidR="00066C97" w:rsidTr="00345119">
        <w:tc>
          <w:tcPr>
            <w:tcW w:w="9576" w:type="dxa"/>
          </w:tcPr>
          <w:p w:rsidR="008423E4" w:rsidRDefault="006118DD" w:rsidP="00345119">
            <w:pPr>
              <w:jc w:val="right"/>
            </w:pPr>
            <w:r>
              <w:t>Committee Report (Unamended)</w:t>
            </w:r>
          </w:p>
        </w:tc>
      </w:tr>
    </w:tbl>
    <w:p w:rsidR="008423E4" w:rsidRDefault="006118DD" w:rsidP="008423E4">
      <w:pPr>
        <w:tabs>
          <w:tab w:val="right" w:pos="9360"/>
        </w:tabs>
      </w:pPr>
    </w:p>
    <w:p w:rsidR="008423E4" w:rsidRDefault="006118DD" w:rsidP="008423E4"/>
    <w:p w:rsidR="008423E4" w:rsidRDefault="006118DD" w:rsidP="008423E4"/>
    <w:tbl>
      <w:tblPr>
        <w:tblW w:w="0" w:type="auto"/>
        <w:tblCellMar>
          <w:left w:w="115" w:type="dxa"/>
          <w:right w:w="115" w:type="dxa"/>
        </w:tblCellMar>
        <w:tblLook w:val="01E0" w:firstRow="1" w:lastRow="1" w:firstColumn="1" w:lastColumn="1" w:noHBand="0" w:noVBand="0"/>
      </w:tblPr>
      <w:tblGrid>
        <w:gridCol w:w="9576"/>
      </w:tblGrid>
      <w:tr w:rsidR="00066C97" w:rsidTr="00345119">
        <w:tc>
          <w:tcPr>
            <w:tcW w:w="9576" w:type="dxa"/>
          </w:tcPr>
          <w:p w:rsidR="008423E4" w:rsidRPr="00A8133F" w:rsidRDefault="006118DD" w:rsidP="001F1E79">
            <w:pPr>
              <w:rPr>
                <w:b/>
              </w:rPr>
            </w:pPr>
            <w:r w:rsidRPr="009C1E9A">
              <w:rPr>
                <w:b/>
                <w:u w:val="single"/>
              </w:rPr>
              <w:t>BACKGROUND AND PURPOSE</w:t>
            </w:r>
            <w:r>
              <w:rPr>
                <w:b/>
              </w:rPr>
              <w:t xml:space="preserve"> </w:t>
            </w:r>
          </w:p>
          <w:p w:rsidR="008423E4" w:rsidRDefault="006118DD" w:rsidP="001F1E79"/>
          <w:p w:rsidR="008423E4" w:rsidRDefault="006118DD" w:rsidP="001F1E79">
            <w:pPr>
              <w:pStyle w:val="Header"/>
              <w:jc w:val="both"/>
            </w:pPr>
            <w:r>
              <w:t>There are concerns about the limited choice voters have in the projects their tax dollars fund when</w:t>
            </w:r>
            <w:r>
              <w:t xml:space="preserve"> taxing entities combin</w:t>
            </w:r>
            <w:r>
              <w:t>e</w:t>
            </w:r>
            <w:r>
              <w:t xml:space="preserve"> multiple purposes into single-ballot bonds</w:t>
            </w:r>
            <w:r>
              <w:t>. It has been noted that</w:t>
            </w:r>
            <w:r>
              <w:t xml:space="preserve"> bond proposals</w:t>
            </w:r>
            <w:r>
              <w:t xml:space="preserve"> are required</w:t>
            </w:r>
            <w:r>
              <w:t xml:space="preserve"> to describe the general purpose</w:t>
            </w:r>
            <w:r w:rsidRPr="0080184D">
              <w:t xml:space="preserve"> for which the bonds are to be authorized</w:t>
            </w:r>
            <w:r>
              <w:t>,</w:t>
            </w:r>
            <w:r>
              <w:t xml:space="preserve"> </w:t>
            </w:r>
            <w:r>
              <w:t>which</w:t>
            </w:r>
            <w:r>
              <w:t xml:space="preserve"> allows for multiple distinct purposes to be consolidated</w:t>
            </w:r>
            <w:r>
              <w:t xml:space="preserve"> into one proposition</w:t>
            </w:r>
            <w:r>
              <w:t>,</w:t>
            </w:r>
            <w:r>
              <w:t xml:space="preserve"> and there have been calls for</w:t>
            </w:r>
            <w:r>
              <w:t xml:space="preserve"> more specificity in bond descriptions.</w:t>
            </w:r>
            <w:r>
              <w:t xml:space="preserve"> </w:t>
            </w:r>
            <w:r>
              <w:t>S</w:t>
            </w:r>
            <w:r>
              <w:t>.</w:t>
            </w:r>
            <w:r>
              <w:t>B</w:t>
            </w:r>
            <w:r>
              <w:t>.</w:t>
            </w:r>
            <w:r>
              <w:t xml:space="preserve"> 30 </w:t>
            </w:r>
            <w:r>
              <w:t xml:space="preserve">seeks to address these concerns by </w:t>
            </w:r>
            <w:r>
              <w:t>requir</w:t>
            </w:r>
            <w:r>
              <w:t>ing</w:t>
            </w:r>
            <w:r>
              <w:t xml:space="preserve"> local taxing entities to write more transparent and detailed ballot language for propositions to issue bonds. </w:t>
            </w:r>
          </w:p>
          <w:p w:rsidR="005065DD" w:rsidRPr="00E26B13" w:rsidRDefault="006118DD" w:rsidP="001F1E79">
            <w:pPr>
              <w:pStyle w:val="Header"/>
              <w:jc w:val="both"/>
              <w:rPr>
                <w:b/>
              </w:rPr>
            </w:pPr>
          </w:p>
        </w:tc>
      </w:tr>
      <w:tr w:rsidR="00066C97" w:rsidTr="00345119">
        <w:tc>
          <w:tcPr>
            <w:tcW w:w="9576" w:type="dxa"/>
          </w:tcPr>
          <w:p w:rsidR="0017725B" w:rsidRDefault="006118DD" w:rsidP="001F1E79">
            <w:pPr>
              <w:rPr>
                <w:b/>
                <w:u w:val="single"/>
              </w:rPr>
            </w:pPr>
            <w:r>
              <w:rPr>
                <w:b/>
                <w:u w:val="single"/>
              </w:rPr>
              <w:t>CRIMINAL JUSTICE IMPACT</w:t>
            </w:r>
          </w:p>
          <w:p w:rsidR="0017725B" w:rsidRDefault="006118DD" w:rsidP="001F1E79">
            <w:pPr>
              <w:rPr>
                <w:b/>
                <w:u w:val="single"/>
              </w:rPr>
            </w:pPr>
          </w:p>
          <w:p w:rsidR="00E83F8F" w:rsidRPr="00E83F8F" w:rsidRDefault="006118DD" w:rsidP="001F1E79">
            <w:pPr>
              <w:jc w:val="both"/>
            </w:pPr>
            <w:r>
              <w:t>It is the committee's opinion that this bill does not expressly create a criminal offense, increase the punishment for an existing criminal offense or category of offenses, or change the eligibility of a person for community supe</w:t>
            </w:r>
            <w:r>
              <w:t>rvision, parole, or mandatory supervision.</w:t>
            </w:r>
          </w:p>
          <w:p w:rsidR="0017725B" w:rsidRPr="0017725B" w:rsidRDefault="006118DD" w:rsidP="001F1E79">
            <w:pPr>
              <w:rPr>
                <w:b/>
                <w:u w:val="single"/>
              </w:rPr>
            </w:pPr>
          </w:p>
        </w:tc>
      </w:tr>
      <w:tr w:rsidR="00066C97" w:rsidTr="00345119">
        <w:tc>
          <w:tcPr>
            <w:tcW w:w="9576" w:type="dxa"/>
          </w:tcPr>
          <w:p w:rsidR="008423E4" w:rsidRPr="00A8133F" w:rsidRDefault="006118DD" w:rsidP="001F1E79">
            <w:pPr>
              <w:rPr>
                <w:b/>
              </w:rPr>
            </w:pPr>
            <w:r w:rsidRPr="009C1E9A">
              <w:rPr>
                <w:b/>
                <w:u w:val="single"/>
              </w:rPr>
              <w:t>RULEMAKING AUTHORITY</w:t>
            </w:r>
            <w:r>
              <w:rPr>
                <w:b/>
              </w:rPr>
              <w:t xml:space="preserve"> </w:t>
            </w:r>
          </w:p>
          <w:p w:rsidR="008423E4" w:rsidRDefault="006118DD" w:rsidP="001F1E79"/>
          <w:p w:rsidR="00E83F8F" w:rsidRDefault="006118DD" w:rsidP="001F1E79">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6118DD" w:rsidP="001F1E79">
            <w:pPr>
              <w:rPr>
                <w:b/>
              </w:rPr>
            </w:pPr>
          </w:p>
        </w:tc>
      </w:tr>
      <w:tr w:rsidR="00066C97" w:rsidTr="00345119">
        <w:tc>
          <w:tcPr>
            <w:tcW w:w="9576" w:type="dxa"/>
          </w:tcPr>
          <w:p w:rsidR="008423E4" w:rsidRPr="00A8133F" w:rsidRDefault="006118DD" w:rsidP="001F1E79">
            <w:pPr>
              <w:rPr>
                <w:b/>
              </w:rPr>
            </w:pPr>
            <w:r w:rsidRPr="009C1E9A">
              <w:rPr>
                <w:b/>
                <w:u w:val="single"/>
              </w:rPr>
              <w:t>ANALYSIS</w:t>
            </w:r>
            <w:r>
              <w:rPr>
                <w:b/>
              </w:rPr>
              <w:t xml:space="preserve"> </w:t>
            </w:r>
          </w:p>
          <w:p w:rsidR="008423E4" w:rsidRDefault="006118DD" w:rsidP="001F1E79"/>
          <w:p w:rsidR="00C243F5" w:rsidRDefault="006118DD" w:rsidP="001F1E79">
            <w:pPr>
              <w:pStyle w:val="Header"/>
              <w:tabs>
                <w:tab w:val="clear" w:pos="4320"/>
                <w:tab w:val="clear" w:pos="8640"/>
              </w:tabs>
              <w:jc w:val="both"/>
            </w:pPr>
            <w:r>
              <w:t xml:space="preserve">S.B. 30 amends the Education Code </w:t>
            </w:r>
            <w:r>
              <w:t>to establish</w:t>
            </w:r>
            <w:r>
              <w:t xml:space="preserve"> that the question of whether to approve the issuance of bonds for the construction, acquisition, and equi</w:t>
            </w:r>
            <w:r>
              <w:t xml:space="preserve">pment of school buildings in </w:t>
            </w:r>
            <w:r>
              <w:t>a public school</w:t>
            </w:r>
            <w:r>
              <w:t xml:space="preserve"> district</w:t>
            </w:r>
            <w:r>
              <w:t xml:space="preserve"> and the purchase of necessary sites for school bui</w:t>
            </w:r>
            <w:r>
              <w:t>ldings</w:t>
            </w:r>
            <w:r>
              <w:t xml:space="preserve">, notwithstanding </w:t>
            </w:r>
            <w:r>
              <w:t>an applicable Election Code provision relating to propositions</w:t>
            </w:r>
            <w:r>
              <w:t>,</w:t>
            </w:r>
            <w:r>
              <w:t xml:space="preserve"> may be submitted to the voters in a single ballot proposition, except that bonds for each of the following purposes must be stated in a separate proposition</w:t>
            </w:r>
            <w:r>
              <w:t>:</w:t>
            </w:r>
          </w:p>
          <w:p w:rsidR="00576ED4" w:rsidRDefault="006118DD" w:rsidP="001F1E79">
            <w:pPr>
              <w:pStyle w:val="Header"/>
              <w:numPr>
                <w:ilvl w:val="0"/>
                <w:numId w:val="1"/>
              </w:numPr>
              <w:spacing w:before="120" w:after="120"/>
              <w:jc w:val="both"/>
            </w:pPr>
            <w:r>
              <w:t>the constr</w:t>
            </w:r>
            <w:r>
              <w:t xml:space="preserve">uction, improvement, or renovation of a stadium; </w:t>
            </w:r>
          </w:p>
          <w:p w:rsidR="00576ED4" w:rsidRDefault="006118DD" w:rsidP="001F1E79">
            <w:pPr>
              <w:pStyle w:val="Header"/>
              <w:numPr>
                <w:ilvl w:val="0"/>
                <w:numId w:val="1"/>
              </w:numPr>
              <w:spacing w:before="120" w:after="120"/>
              <w:jc w:val="both"/>
            </w:pPr>
            <w:r>
              <w:t>the construction, improvement, or renovation of a natatorium;</w:t>
            </w:r>
          </w:p>
          <w:p w:rsidR="00576ED4" w:rsidRDefault="006118DD" w:rsidP="001F1E79">
            <w:pPr>
              <w:pStyle w:val="Header"/>
              <w:numPr>
                <w:ilvl w:val="0"/>
                <w:numId w:val="1"/>
              </w:numPr>
              <w:spacing w:before="120" w:after="120"/>
              <w:jc w:val="both"/>
            </w:pPr>
            <w:r>
              <w:t>the construction, improvement, or renovation of another recreational facility other than a gymnasium;</w:t>
            </w:r>
          </w:p>
          <w:p w:rsidR="00576ED4" w:rsidRDefault="006118DD" w:rsidP="001F1E79">
            <w:pPr>
              <w:pStyle w:val="Header"/>
              <w:numPr>
                <w:ilvl w:val="0"/>
                <w:numId w:val="1"/>
              </w:numPr>
              <w:spacing w:before="120" w:after="120"/>
              <w:jc w:val="both"/>
            </w:pPr>
            <w:r>
              <w:t>the construction, improvement, or renovati</w:t>
            </w:r>
            <w:r>
              <w:t>on of a performing arts facility;</w:t>
            </w:r>
          </w:p>
          <w:p w:rsidR="00576ED4" w:rsidRDefault="006118DD" w:rsidP="001F1E79">
            <w:pPr>
              <w:pStyle w:val="Header"/>
              <w:numPr>
                <w:ilvl w:val="0"/>
                <w:numId w:val="1"/>
              </w:numPr>
              <w:spacing w:before="120" w:after="120"/>
              <w:jc w:val="both"/>
            </w:pPr>
            <w:r>
              <w:t>the construction, improvement, or renovation of housing for teachers as determined by the district to be necessary to have a sufficient number of teachers for the district; and</w:t>
            </w:r>
          </w:p>
          <w:p w:rsidR="00576ED4" w:rsidRDefault="006118DD" w:rsidP="001F1E79">
            <w:pPr>
              <w:pStyle w:val="Header"/>
              <w:numPr>
                <w:ilvl w:val="0"/>
                <w:numId w:val="1"/>
              </w:numPr>
              <w:tabs>
                <w:tab w:val="clear" w:pos="4320"/>
                <w:tab w:val="clear" w:pos="8640"/>
              </w:tabs>
              <w:spacing w:before="120"/>
              <w:jc w:val="both"/>
            </w:pPr>
            <w:r>
              <w:t>an acquisition or update of technology equipm</w:t>
            </w:r>
            <w:r>
              <w:t>ent, other than equipment used for school security purposes.</w:t>
            </w:r>
          </w:p>
          <w:p w:rsidR="009E3F32" w:rsidRDefault="006118DD" w:rsidP="001F1E79">
            <w:pPr>
              <w:pStyle w:val="Header"/>
              <w:tabs>
                <w:tab w:val="clear" w:pos="4320"/>
                <w:tab w:val="clear" w:pos="8640"/>
              </w:tabs>
              <w:jc w:val="both"/>
            </w:pPr>
          </w:p>
          <w:p w:rsidR="009E3F32" w:rsidRDefault="006118DD" w:rsidP="001F1E79">
            <w:pPr>
              <w:pStyle w:val="Header"/>
              <w:tabs>
                <w:tab w:val="clear" w:pos="4320"/>
                <w:tab w:val="clear" w:pos="8640"/>
              </w:tabs>
              <w:jc w:val="both"/>
            </w:pPr>
            <w:r>
              <w:t>S.B. 30 requires the question of whether to approve the issuance of bonds for a stadium, natatorium, another recreation</w:t>
            </w:r>
            <w:r>
              <w:t>al</w:t>
            </w:r>
            <w:r>
              <w:t xml:space="preserve"> facility other than a gymnasium, a performing arts facility, or housing </w:t>
            </w:r>
            <w:r>
              <w:t xml:space="preserve">for teachers as determined by the district to be necessary to have a sufficient number of teachers for the district to be printed on the ballot as a separate ballot proposition regardless of whether that building is proposed as part of the same complex or </w:t>
            </w:r>
            <w:r>
              <w:t>building that contains traditional classroom facilities. The bill requires each such separate ballot proposition to state the principal amount of the bonds to be issued that constitutes the cost for construction of that portion of the building or complex a</w:t>
            </w:r>
            <w:r>
              <w:t xml:space="preserve">ttributable to </w:t>
            </w:r>
            <w:r>
              <w:t>the specified buildings</w:t>
            </w:r>
            <w:r>
              <w:t xml:space="preserve"> or to the traditional classroom facilities, as applicable.</w:t>
            </w:r>
          </w:p>
          <w:p w:rsidR="00C243F5" w:rsidRDefault="006118DD" w:rsidP="001F1E79">
            <w:pPr>
              <w:pStyle w:val="Header"/>
              <w:tabs>
                <w:tab w:val="clear" w:pos="4320"/>
                <w:tab w:val="clear" w:pos="8640"/>
              </w:tabs>
              <w:jc w:val="both"/>
            </w:pPr>
          </w:p>
          <w:p w:rsidR="008423E4" w:rsidRDefault="006118DD" w:rsidP="001F1E79">
            <w:pPr>
              <w:pStyle w:val="Header"/>
              <w:tabs>
                <w:tab w:val="clear" w:pos="4320"/>
                <w:tab w:val="clear" w:pos="8640"/>
              </w:tabs>
              <w:jc w:val="both"/>
            </w:pPr>
            <w:r>
              <w:t>S</w:t>
            </w:r>
            <w:r>
              <w:t xml:space="preserve">.B. 30 amends the Election Code to </w:t>
            </w:r>
            <w:r>
              <w:t>replace</w:t>
            </w:r>
            <w:r>
              <w:t xml:space="preserve"> the requirement for </w:t>
            </w:r>
            <w:r w:rsidRPr="0080184D">
              <w:t>a proposition submitted to the voters for approval of the issuance of bonds</w:t>
            </w:r>
            <w:r>
              <w:t xml:space="preserve"> to specifically state a</w:t>
            </w:r>
            <w:r>
              <w:t xml:space="preserve"> general description</w:t>
            </w:r>
            <w:r>
              <w:t xml:space="preserve"> </w:t>
            </w:r>
            <w:r w:rsidRPr="0080184D">
              <w:t xml:space="preserve">of the </w:t>
            </w:r>
            <w:r>
              <w:t>purposes</w:t>
            </w:r>
            <w:r w:rsidRPr="0080184D">
              <w:t xml:space="preserve"> for which the bonds are to be authorized</w:t>
            </w:r>
            <w:r>
              <w:t xml:space="preserve"> </w:t>
            </w:r>
            <w:r>
              <w:t>with</w:t>
            </w:r>
            <w:r>
              <w:t xml:space="preserve"> a requirement to specifically state </w:t>
            </w:r>
            <w:r>
              <w:t>a plain language description of the single specific purpose for which the bonds are to be authorized. The bill re</w:t>
            </w:r>
            <w:r>
              <w:t>quires e</w:t>
            </w:r>
            <w:r w:rsidRPr="00701D61">
              <w:t xml:space="preserve">ach single specific purpose for which bonds requiring voter approval are to be issued </w:t>
            </w:r>
            <w:r>
              <w:t>to b</w:t>
            </w:r>
            <w:r w:rsidRPr="00701D61">
              <w:t>e printed on the ballot as a separate proposition</w:t>
            </w:r>
            <w:r>
              <w:t xml:space="preserve">. </w:t>
            </w:r>
          </w:p>
          <w:p w:rsidR="008423E4" w:rsidRPr="00835628" w:rsidRDefault="006118DD" w:rsidP="001F1E79">
            <w:pPr>
              <w:rPr>
                <w:b/>
              </w:rPr>
            </w:pPr>
          </w:p>
        </w:tc>
      </w:tr>
      <w:tr w:rsidR="00066C97" w:rsidTr="00345119">
        <w:tc>
          <w:tcPr>
            <w:tcW w:w="9576" w:type="dxa"/>
          </w:tcPr>
          <w:p w:rsidR="008423E4" w:rsidRPr="00A8133F" w:rsidRDefault="006118DD" w:rsidP="001F1E79">
            <w:pPr>
              <w:rPr>
                <w:b/>
              </w:rPr>
            </w:pPr>
            <w:r w:rsidRPr="009C1E9A">
              <w:rPr>
                <w:b/>
                <w:u w:val="single"/>
              </w:rPr>
              <w:t>EFFECTIVE DATE</w:t>
            </w:r>
            <w:r>
              <w:rPr>
                <w:b/>
              </w:rPr>
              <w:t xml:space="preserve"> </w:t>
            </w:r>
          </w:p>
          <w:p w:rsidR="008423E4" w:rsidRDefault="006118DD" w:rsidP="001F1E79"/>
          <w:p w:rsidR="008423E4" w:rsidRPr="003624F2" w:rsidRDefault="006118DD" w:rsidP="001F1E79">
            <w:pPr>
              <w:pStyle w:val="Header"/>
              <w:tabs>
                <w:tab w:val="clear" w:pos="4320"/>
                <w:tab w:val="clear" w:pos="8640"/>
              </w:tabs>
              <w:jc w:val="both"/>
            </w:pPr>
            <w:r>
              <w:t>September 1, 2019.</w:t>
            </w:r>
          </w:p>
          <w:p w:rsidR="008423E4" w:rsidRPr="00233FDB" w:rsidRDefault="006118DD" w:rsidP="001F1E79">
            <w:pPr>
              <w:rPr>
                <w:b/>
              </w:rPr>
            </w:pPr>
          </w:p>
        </w:tc>
      </w:tr>
    </w:tbl>
    <w:p w:rsidR="008423E4" w:rsidRPr="00BE0E75" w:rsidRDefault="006118DD" w:rsidP="008423E4">
      <w:pPr>
        <w:spacing w:line="480" w:lineRule="auto"/>
        <w:jc w:val="both"/>
        <w:rPr>
          <w:rFonts w:ascii="Arial" w:hAnsi="Arial"/>
          <w:sz w:val="16"/>
          <w:szCs w:val="16"/>
        </w:rPr>
      </w:pPr>
    </w:p>
    <w:p w:rsidR="004108C3" w:rsidRPr="008423E4" w:rsidRDefault="006118DD"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118DD">
      <w:r>
        <w:separator/>
      </w:r>
    </w:p>
  </w:endnote>
  <w:endnote w:type="continuationSeparator" w:id="0">
    <w:p w:rsidR="00000000" w:rsidRDefault="00611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6118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066C97" w:rsidTr="009C1E9A">
      <w:trPr>
        <w:cantSplit/>
      </w:trPr>
      <w:tc>
        <w:tcPr>
          <w:tcW w:w="0" w:type="pct"/>
        </w:tcPr>
        <w:p w:rsidR="00137D90" w:rsidRDefault="006118DD" w:rsidP="009C1E9A">
          <w:pPr>
            <w:pStyle w:val="Footer"/>
            <w:tabs>
              <w:tab w:val="clear" w:pos="8640"/>
              <w:tab w:val="right" w:pos="9360"/>
            </w:tabs>
          </w:pPr>
        </w:p>
      </w:tc>
      <w:tc>
        <w:tcPr>
          <w:tcW w:w="2395" w:type="pct"/>
        </w:tcPr>
        <w:p w:rsidR="00137D90" w:rsidRDefault="006118DD" w:rsidP="009C1E9A">
          <w:pPr>
            <w:pStyle w:val="Footer"/>
            <w:tabs>
              <w:tab w:val="clear" w:pos="8640"/>
              <w:tab w:val="right" w:pos="9360"/>
            </w:tabs>
          </w:pPr>
        </w:p>
        <w:p w:rsidR="001A4310" w:rsidRDefault="006118DD" w:rsidP="009C1E9A">
          <w:pPr>
            <w:pStyle w:val="Footer"/>
            <w:tabs>
              <w:tab w:val="clear" w:pos="8640"/>
              <w:tab w:val="right" w:pos="9360"/>
            </w:tabs>
          </w:pPr>
        </w:p>
        <w:p w:rsidR="00137D90" w:rsidRDefault="006118DD" w:rsidP="009C1E9A">
          <w:pPr>
            <w:pStyle w:val="Footer"/>
            <w:tabs>
              <w:tab w:val="clear" w:pos="8640"/>
              <w:tab w:val="right" w:pos="9360"/>
            </w:tabs>
          </w:pPr>
        </w:p>
      </w:tc>
      <w:tc>
        <w:tcPr>
          <w:tcW w:w="2453" w:type="pct"/>
        </w:tcPr>
        <w:p w:rsidR="00137D90" w:rsidRDefault="006118DD" w:rsidP="009C1E9A">
          <w:pPr>
            <w:pStyle w:val="Footer"/>
            <w:tabs>
              <w:tab w:val="clear" w:pos="8640"/>
              <w:tab w:val="right" w:pos="9360"/>
            </w:tabs>
            <w:jc w:val="right"/>
          </w:pPr>
        </w:p>
      </w:tc>
    </w:tr>
    <w:tr w:rsidR="00066C97" w:rsidTr="009C1E9A">
      <w:trPr>
        <w:cantSplit/>
      </w:trPr>
      <w:tc>
        <w:tcPr>
          <w:tcW w:w="0" w:type="pct"/>
        </w:tcPr>
        <w:p w:rsidR="00EC379B" w:rsidRDefault="006118DD" w:rsidP="009C1E9A">
          <w:pPr>
            <w:pStyle w:val="Footer"/>
            <w:tabs>
              <w:tab w:val="clear" w:pos="8640"/>
              <w:tab w:val="right" w:pos="9360"/>
            </w:tabs>
          </w:pPr>
        </w:p>
      </w:tc>
      <w:tc>
        <w:tcPr>
          <w:tcW w:w="2395" w:type="pct"/>
        </w:tcPr>
        <w:p w:rsidR="00EC379B" w:rsidRPr="009C1E9A" w:rsidRDefault="006118DD" w:rsidP="009C1E9A">
          <w:pPr>
            <w:pStyle w:val="Footer"/>
            <w:tabs>
              <w:tab w:val="clear" w:pos="8640"/>
              <w:tab w:val="right" w:pos="9360"/>
            </w:tabs>
            <w:rPr>
              <w:rFonts w:ascii="Shruti" w:hAnsi="Shruti"/>
              <w:sz w:val="22"/>
            </w:rPr>
          </w:pPr>
          <w:r>
            <w:rPr>
              <w:rFonts w:ascii="Shruti" w:hAnsi="Shruti"/>
              <w:sz w:val="22"/>
            </w:rPr>
            <w:t>86R 30865</w:t>
          </w:r>
        </w:p>
      </w:tc>
      <w:tc>
        <w:tcPr>
          <w:tcW w:w="2453" w:type="pct"/>
        </w:tcPr>
        <w:p w:rsidR="00EC379B" w:rsidRDefault="006118DD" w:rsidP="009C1E9A">
          <w:pPr>
            <w:pStyle w:val="Footer"/>
            <w:tabs>
              <w:tab w:val="clear" w:pos="8640"/>
              <w:tab w:val="right" w:pos="9360"/>
            </w:tabs>
            <w:jc w:val="right"/>
          </w:pPr>
          <w:r>
            <w:fldChar w:fldCharType="begin"/>
          </w:r>
          <w:r>
            <w:instrText xml:space="preserve"> DOCPROPERTY  OTID  \* MERGEFORMAT </w:instrText>
          </w:r>
          <w:r>
            <w:fldChar w:fldCharType="separate"/>
          </w:r>
          <w:r>
            <w:t>19.121.41</w:t>
          </w:r>
          <w:r>
            <w:fldChar w:fldCharType="end"/>
          </w:r>
        </w:p>
      </w:tc>
    </w:tr>
    <w:tr w:rsidR="00066C97" w:rsidTr="009C1E9A">
      <w:trPr>
        <w:cantSplit/>
      </w:trPr>
      <w:tc>
        <w:tcPr>
          <w:tcW w:w="0" w:type="pct"/>
        </w:tcPr>
        <w:p w:rsidR="00EC379B" w:rsidRDefault="006118DD" w:rsidP="009C1E9A">
          <w:pPr>
            <w:pStyle w:val="Footer"/>
            <w:tabs>
              <w:tab w:val="clear" w:pos="4320"/>
              <w:tab w:val="clear" w:pos="8640"/>
              <w:tab w:val="left" w:pos="2865"/>
            </w:tabs>
          </w:pPr>
        </w:p>
      </w:tc>
      <w:tc>
        <w:tcPr>
          <w:tcW w:w="2395" w:type="pct"/>
        </w:tcPr>
        <w:p w:rsidR="00EC379B" w:rsidRPr="009C1E9A" w:rsidRDefault="006118DD" w:rsidP="009C1E9A">
          <w:pPr>
            <w:pStyle w:val="Footer"/>
            <w:tabs>
              <w:tab w:val="clear" w:pos="4320"/>
              <w:tab w:val="clear" w:pos="8640"/>
              <w:tab w:val="left" w:pos="2865"/>
            </w:tabs>
            <w:rPr>
              <w:rFonts w:ascii="Shruti" w:hAnsi="Shruti"/>
              <w:sz w:val="22"/>
            </w:rPr>
          </w:pPr>
        </w:p>
      </w:tc>
      <w:tc>
        <w:tcPr>
          <w:tcW w:w="2453" w:type="pct"/>
        </w:tcPr>
        <w:p w:rsidR="00EC379B" w:rsidRDefault="006118DD" w:rsidP="006D504F">
          <w:pPr>
            <w:pStyle w:val="Footer"/>
            <w:rPr>
              <w:rStyle w:val="PageNumber"/>
            </w:rPr>
          </w:pPr>
        </w:p>
        <w:p w:rsidR="00EC379B" w:rsidRDefault="006118DD" w:rsidP="009C1E9A">
          <w:pPr>
            <w:pStyle w:val="Footer"/>
            <w:tabs>
              <w:tab w:val="clear" w:pos="8640"/>
              <w:tab w:val="right" w:pos="9360"/>
            </w:tabs>
            <w:jc w:val="right"/>
          </w:pPr>
        </w:p>
      </w:tc>
    </w:tr>
    <w:tr w:rsidR="00066C97" w:rsidTr="009C1E9A">
      <w:trPr>
        <w:cantSplit/>
        <w:trHeight w:val="323"/>
      </w:trPr>
      <w:tc>
        <w:tcPr>
          <w:tcW w:w="0" w:type="pct"/>
          <w:gridSpan w:val="3"/>
        </w:tcPr>
        <w:p w:rsidR="00EC379B" w:rsidRDefault="006118DD"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C379B" w:rsidRDefault="006118DD" w:rsidP="009C1E9A">
          <w:pPr>
            <w:pStyle w:val="Footer"/>
            <w:tabs>
              <w:tab w:val="clear" w:pos="8640"/>
              <w:tab w:val="right" w:pos="9360"/>
            </w:tabs>
            <w:jc w:val="center"/>
          </w:pPr>
        </w:p>
      </w:tc>
    </w:tr>
  </w:tbl>
  <w:p w:rsidR="00EC379B" w:rsidRPr="00FF6F72" w:rsidRDefault="006118DD"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6118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118DD">
      <w:r>
        <w:separator/>
      </w:r>
    </w:p>
  </w:footnote>
  <w:footnote w:type="continuationSeparator" w:id="0">
    <w:p w:rsidR="00000000" w:rsidRDefault="006118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6118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6118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6118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C1447"/>
    <w:multiLevelType w:val="hybridMultilevel"/>
    <w:tmpl w:val="1A523CF6"/>
    <w:lvl w:ilvl="0" w:tplc="1C4C1A4E">
      <w:start w:val="1"/>
      <w:numFmt w:val="bullet"/>
      <w:lvlText w:val=""/>
      <w:lvlJc w:val="left"/>
      <w:pPr>
        <w:tabs>
          <w:tab w:val="num" w:pos="720"/>
        </w:tabs>
        <w:ind w:left="720" w:hanging="360"/>
      </w:pPr>
      <w:rPr>
        <w:rFonts w:ascii="Symbol" w:hAnsi="Symbol" w:hint="default"/>
      </w:rPr>
    </w:lvl>
    <w:lvl w:ilvl="1" w:tplc="6D18A6CA" w:tentative="1">
      <w:start w:val="1"/>
      <w:numFmt w:val="bullet"/>
      <w:lvlText w:val="o"/>
      <w:lvlJc w:val="left"/>
      <w:pPr>
        <w:ind w:left="1440" w:hanging="360"/>
      </w:pPr>
      <w:rPr>
        <w:rFonts w:ascii="Courier New" w:hAnsi="Courier New" w:cs="Courier New" w:hint="default"/>
      </w:rPr>
    </w:lvl>
    <w:lvl w:ilvl="2" w:tplc="193ED2B6" w:tentative="1">
      <w:start w:val="1"/>
      <w:numFmt w:val="bullet"/>
      <w:lvlText w:val=""/>
      <w:lvlJc w:val="left"/>
      <w:pPr>
        <w:ind w:left="2160" w:hanging="360"/>
      </w:pPr>
      <w:rPr>
        <w:rFonts w:ascii="Wingdings" w:hAnsi="Wingdings" w:hint="default"/>
      </w:rPr>
    </w:lvl>
    <w:lvl w:ilvl="3" w:tplc="46E887E0" w:tentative="1">
      <w:start w:val="1"/>
      <w:numFmt w:val="bullet"/>
      <w:lvlText w:val=""/>
      <w:lvlJc w:val="left"/>
      <w:pPr>
        <w:ind w:left="2880" w:hanging="360"/>
      </w:pPr>
      <w:rPr>
        <w:rFonts w:ascii="Symbol" w:hAnsi="Symbol" w:hint="default"/>
      </w:rPr>
    </w:lvl>
    <w:lvl w:ilvl="4" w:tplc="2D58120C" w:tentative="1">
      <w:start w:val="1"/>
      <w:numFmt w:val="bullet"/>
      <w:lvlText w:val="o"/>
      <w:lvlJc w:val="left"/>
      <w:pPr>
        <w:ind w:left="3600" w:hanging="360"/>
      </w:pPr>
      <w:rPr>
        <w:rFonts w:ascii="Courier New" w:hAnsi="Courier New" w:cs="Courier New" w:hint="default"/>
      </w:rPr>
    </w:lvl>
    <w:lvl w:ilvl="5" w:tplc="A4FCDB80" w:tentative="1">
      <w:start w:val="1"/>
      <w:numFmt w:val="bullet"/>
      <w:lvlText w:val=""/>
      <w:lvlJc w:val="left"/>
      <w:pPr>
        <w:ind w:left="4320" w:hanging="360"/>
      </w:pPr>
      <w:rPr>
        <w:rFonts w:ascii="Wingdings" w:hAnsi="Wingdings" w:hint="default"/>
      </w:rPr>
    </w:lvl>
    <w:lvl w:ilvl="6" w:tplc="5A2E2DA0" w:tentative="1">
      <w:start w:val="1"/>
      <w:numFmt w:val="bullet"/>
      <w:lvlText w:val=""/>
      <w:lvlJc w:val="left"/>
      <w:pPr>
        <w:ind w:left="5040" w:hanging="360"/>
      </w:pPr>
      <w:rPr>
        <w:rFonts w:ascii="Symbol" w:hAnsi="Symbol" w:hint="default"/>
      </w:rPr>
    </w:lvl>
    <w:lvl w:ilvl="7" w:tplc="9BCC49EE" w:tentative="1">
      <w:start w:val="1"/>
      <w:numFmt w:val="bullet"/>
      <w:lvlText w:val="o"/>
      <w:lvlJc w:val="left"/>
      <w:pPr>
        <w:ind w:left="5760" w:hanging="360"/>
      </w:pPr>
      <w:rPr>
        <w:rFonts w:ascii="Courier New" w:hAnsi="Courier New" w:cs="Courier New" w:hint="default"/>
      </w:rPr>
    </w:lvl>
    <w:lvl w:ilvl="8" w:tplc="84B4969C"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C97"/>
    <w:rsid w:val="00066C97"/>
    <w:rsid w:val="00611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E58D561-F066-4AC2-AAF9-3DD734C2B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E83F8F"/>
    <w:rPr>
      <w:sz w:val="16"/>
      <w:szCs w:val="16"/>
    </w:rPr>
  </w:style>
  <w:style w:type="paragraph" w:styleId="CommentText">
    <w:name w:val="annotation text"/>
    <w:basedOn w:val="Normal"/>
    <w:link w:val="CommentTextChar"/>
    <w:semiHidden/>
    <w:unhideWhenUsed/>
    <w:rsid w:val="00E83F8F"/>
    <w:rPr>
      <w:sz w:val="20"/>
      <w:szCs w:val="20"/>
    </w:rPr>
  </w:style>
  <w:style w:type="character" w:customStyle="1" w:styleId="CommentTextChar">
    <w:name w:val="Comment Text Char"/>
    <w:basedOn w:val="DefaultParagraphFont"/>
    <w:link w:val="CommentText"/>
    <w:semiHidden/>
    <w:rsid w:val="00E83F8F"/>
  </w:style>
  <w:style w:type="paragraph" w:styleId="CommentSubject">
    <w:name w:val="annotation subject"/>
    <w:basedOn w:val="CommentText"/>
    <w:next w:val="CommentText"/>
    <w:link w:val="CommentSubjectChar"/>
    <w:semiHidden/>
    <w:unhideWhenUsed/>
    <w:rsid w:val="00E83F8F"/>
    <w:rPr>
      <w:b/>
      <w:bCs/>
    </w:rPr>
  </w:style>
  <w:style w:type="character" w:customStyle="1" w:styleId="CommentSubjectChar">
    <w:name w:val="Comment Subject Char"/>
    <w:basedOn w:val="CommentTextChar"/>
    <w:link w:val="CommentSubject"/>
    <w:semiHidden/>
    <w:rsid w:val="00E83F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566</Words>
  <Characters>3134</Characters>
  <Application>Microsoft Office Word</Application>
  <DocSecurity>4</DocSecurity>
  <Lines>72</Lines>
  <Paragraphs>23</Paragraphs>
  <ScaleCrop>false</ScaleCrop>
  <HeadingPairs>
    <vt:vector size="2" baseType="variant">
      <vt:variant>
        <vt:lpstr>Title</vt:lpstr>
      </vt:variant>
      <vt:variant>
        <vt:i4>1</vt:i4>
      </vt:variant>
    </vt:vector>
  </HeadingPairs>
  <TitlesOfParts>
    <vt:vector size="1" baseType="lpstr">
      <vt:lpstr>BA - SB00030 (Committee Report (Unamended))</vt:lpstr>
    </vt:vector>
  </TitlesOfParts>
  <Company>State of Texas</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30865</dc:subject>
  <dc:creator>State of Texas</dc:creator>
  <dc:description>SB 30 by Birdwell-(H)Pensions, Investments &amp; Financial Services</dc:description>
  <cp:lastModifiedBy>Scotty Wimberley</cp:lastModifiedBy>
  <cp:revision>2</cp:revision>
  <cp:lastPrinted>2003-11-26T17:21:00Z</cp:lastPrinted>
  <dcterms:created xsi:type="dcterms:W3CDTF">2019-05-13T13:47:00Z</dcterms:created>
  <dcterms:modified xsi:type="dcterms:W3CDTF">2019-05-13T13:47:00Z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19.121.41</vt:lpwstr>
  </property>
</Properties>
</file>