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2D" w:rsidRDefault="006B6E48">
      <w:bookmarkStart w:id="0" w:name="_GoBack"/>
      <w:bookmarkEnd w:id="0"/>
    </w:p>
    <w:tbl>
      <w:tblPr>
        <w:tblW w:w="0" w:type="auto"/>
        <w:tblLook w:val="01E0" w:firstRow="1" w:lastRow="1" w:firstColumn="1" w:lastColumn="1" w:noHBand="0" w:noVBand="0"/>
      </w:tblPr>
      <w:tblGrid>
        <w:gridCol w:w="9576"/>
      </w:tblGrid>
      <w:tr w:rsidR="00BE047C" w:rsidTr="00805883">
        <w:tc>
          <w:tcPr>
            <w:tcW w:w="9576" w:type="dxa"/>
            <w:noWrap/>
          </w:tcPr>
          <w:p w:rsidR="008423E4" w:rsidRPr="0022177D" w:rsidRDefault="006B6E48" w:rsidP="00805883">
            <w:pPr>
              <w:pStyle w:val="Heading1"/>
            </w:pPr>
            <w:r w:rsidRPr="00631897">
              <w:t>BILL ANALYSIS</w:t>
            </w:r>
          </w:p>
        </w:tc>
      </w:tr>
    </w:tbl>
    <w:p w:rsidR="008423E4" w:rsidRPr="0022177D" w:rsidRDefault="006B6E48" w:rsidP="008423E4">
      <w:pPr>
        <w:jc w:val="center"/>
      </w:pPr>
    </w:p>
    <w:p w:rsidR="008423E4" w:rsidRPr="00B31F0E" w:rsidRDefault="006B6E48" w:rsidP="008423E4"/>
    <w:p w:rsidR="008423E4" w:rsidRPr="00742794" w:rsidRDefault="006B6E48" w:rsidP="008423E4">
      <w:pPr>
        <w:tabs>
          <w:tab w:val="right" w:pos="9360"/>
        </w:tabs>
      </w:pPr>
    </w:p>
    <w:tbl>
      <w:tblPr>
        <w:tblW w:w="0" w:type="auto"/>
        <w:tblLayout w:type="fixed"/>
        <w:tblLook w:val="01E0" w:firstRow="1" w:lastRow="1" w:firstColumn="1" w:lastColumn="1" w:noHBand="0" w:noVBand="0"/>
      </w:tblPr>
      <w:tblGrid>
        <w:gridCol w:w="9576"/>
      </w:tblGrid>
      <w:tr w:rsidR="00BE047C" w:rsidTr="00805883">
        <w:tc>
          <w:tcPr>
            <w:tcW w:w="9576" w:type="dxa"/>
          </w:tcPr>
          <w:p w:rsidR="008423E4" w:rsidRPr="00861995" w:rsidRDefault="006B6E48" w:rsidP="00805883">
            <w:pPr>
              <w:jc w:val="right"/>
            </w:pPr>
            <w:r>
              <w:t>S.B. 37</w:t>
            </w:r>
          </w:p>
        </w:tc>
      </w:tr>
      <w:tr w:rsidR="00BE047C" w:rsidTr="00805883">
        <w:tc>
          <w:tcPr>
            <w:tcW w:w="9576" w:type="dxa"/>
          </w:tcPr>
          <w:p w:rsidR="008423E4" w:rsidRPr="00861995" w:rsidRDefault="006B6E48" w:rsidP="008207B7">
            <w:pPr>
              <w:jc w:val="right"/>
            </w:pPr>
            <w:r>
              <w:t xml:space="preserve">By: </w:t>
            </w:r>
            <w:r>
              <w:t>Zaffirini</w:t>
            </w:r>
          </w:p>
        </w:tc>
      </w:tr>
      <w:tr w:rsidR="00BE047C" w:rsidTr="00805883">
        <w:tc>
          <w:tcPr>
            <w:tcW w:w="9576" w:type="dxa"/>
          </w:tcPr>
          <w:p w:rsidR="008423E4" w:rsidRPr="00861995" w:rsidRDefault="006B6E48" w:rsidP="00805883">
            <w:pPr>
              <w:jc w:val="right"/>
            </w:pPr>
            <w:r>
              <w:t>Higher Education</w:t>
            </w:r>
          </w:p>
        </w:tc>
      </w:tr>
      <w:tr w:rsidR="00BE047C" w:rsidTr="00805883">
        <w:tc>
          <w:tcPr>
            <w:tcW w:w="9576" w:type="dxa"/>
          </w:tcPr>
          <w:p w:rsidR="008423E4" w:rsidRDefault="006B6E48" w:rsidP="00805883">
            <w:pPr>
              <w:jc w:val="right"/>
            </w:pPr>
            <w:r>
              <w:t>Committee Report (Unamended)</w:t>
            </w:r>
          </w:p>
        </w:tc>
      </w:tr>
    </w:tbl>
    <w:p w:rsidR="008423E4" w:rsidRDefault="006B6E48" w:rsidP="008423E4">
      <w:pPr>
        <w:tabs>
          <w:tab w:val="right" w:pos="9360"/>
        </w:tabs>
      </w:pPr>
    </w:p>
    <w:p w:rsidR="008423E4" w:rsidRDefault="006B6E48" w:rsidP="008423E4"/>
    <w:p w:rsidR="008423E4" w:rsidRDefault="006B6E48" w:rsidP="008423E4"/>
    <w:tbl>
      <w:tblPr>
        <w:tblW w:w="0" w:type="auto"/>
        <w:tblCellMar>
          <w:left w:w="115" w:type="dxa"/>
          <w:right w:w="115" w:type="dxa"/>
        </w:tblCellMar>
        <w:tblLook w:val="01E0" w:firstRow="1" w:lastRow="1" w:firstColumn="1" w:lastColumn="1" w:noHBand="0" w:noVBand="0"/>
      </w:tblPr>
      <w:tblGrid>
        <w:gridCol w:w="9576"/>
      </w:tblGrid>
      <w:tr w:rsidR="00BE047C" w:rsidTr="00BD07C9">
        <w:tc>
          <w:tcPr>
            <w:tcW w:w="9576" w:type="dxa"/>
          </w:tcPr>
          <w:p w:rsidR="008423E4" w:rsidRPr="00A8133F" w:rsidRDefault="006B6E48" w:rsidP="00265DD8">
            <w:pPr>
              <w:rPr>
                <w:b/>
              </w:rPr>
            </w:pPr>
            <w:r w:rsidRPr="009C1E9A">
              <w:rPr>
                <w:b/>
                <w:u w:val="single"/>
              </w:rPr>
              <w:t>BACKGROUND AND PURPOSE</w:t>
            </w:r>
            <w:r>
              <w:rPr>
                <w:b/>
              </w:rPr>
              <w:t xml:space="preserve"> </w:t>
            </w:r>
          </w:p>
          <w:p w:rsidR="008423E4" w:rsidRPr="00C957A6" w:rsidRDefault="006B6E48" w:rsidP="00265DD8">
            <w:pPr>
              <w:rPr>
                <w:sz w:val="22"/>
              </w:rPr>
            </w:pPr>
          </w:p>
          <w:p w:rsidR="008423E4" w:rsidRDefault="006B6E48" w:rsidP="00265DD8">
            <w:pPr>
              <w:pStyle w:val="Header"/>
              <w:jc w:val="both"/>
            </w:pPr>
            <w:r>
              <w:t xml:space="preserve">Concerns have been raised that state laws </w:t>
            </w:r>
            <w:r>
              <w:t xml:space="preserve">barring </w:t>
            </w:r>
            <w:r>
              <w:t xml:space="preserve">professional license holders </w:t>
            </w:r>
            <w:r>
              <w:t xml:space="preserve">who are in default on student loans </w:t>
            </w:r>
            <w:r>
              <w:t xml:space="preserve">from </w:t>
            </w:r>
            <w:r>
              <w:t xml:space="preserve">renewing their licenses </w:t>
            </w:r>
            <w:r>
              <w:t>may be</w:t>
            </w:r>
            <w:r>
              <w:t xml:space="preserve"> counterproductive</w:t>
            </w:r>
            <w:r>
              <w:t xml:space="preserve"> because </w:t>
            </w:r>
            <w:r>
              <w:t xml:space="preserve">doing so can </w:t>
            </w:r>
            <w:r>
              <w:t xml:space="preserve">inhibit </w:t>
            </w:r>
            <w:r>
              <w:t xml:space="preserve">a </w:t>
            </w:r>
            <w:r>
              <w:t>person's</w:t>
            </w:r>
            <w:r>
              <w:t xml:space="preserve"> ability to repay student loan debt. </w:t>
            </w:r>
            <w:r>
              <w:t>S.B. 37</w:t>
            </w:r>
            <w:r>
              <w:t xml:space="preserve"> </w:t>
            </w:r>
            <w:r>
              <w:t xml:space="preserve">seeks to address this issue by </w:t>
            </w:r>
            <w:r>
              <w:t xml:space="preserve">preventing state agencies from adopting </w:t>
            </w:r>
            <w:r>
              <w:t xml:space="preserve">or continuing to follow </w:t>
            </w:r>
            <w:r>
              <w:t>such policies</w:t>
            </w:r>
            <w:r>
              <w:t>.</w:t>
            </w:r>
          </w:p>
          <w:p w:rsidR="008423E4" w:rsidRPr="00E26B13" w:rsidRDefault="006B6E48" w:rsidP="00265DD8">
            <w:pPr>
              <w:rPr>
                <w:b/>
              </w:rPr>
            </w:pPr>
          </w:p>
        </w:tc>
      </w:tr>
      <w:tr w:rsidR="00BE047C" w:rsidTr="00BD07C9">
        <w:tc>
          <w:tcPr>
            <w:tcW w:w="9576" w:type="dxa"/>
          </w:tcPr>
          <w:p w:rsidR="0017725B" w:rsidRDefault="006B6E48" w:rsidP="00265DD8">
            <w:pPr>
              <w:rPr>
                <w:b/>
                <w:u w:val="single"/>
              </w:rPr>
            </w:pPr>
            <w:r>
              <w:rPr>
                <w:b/>
                <w:u w:val="single"/>
              </w:rPr>
              <w:t>CRIMINAL JU</w:t>
            </w:r>
            <w:r>
              <w:rPr>
                <w:b/>
                <w:u w:val="single"/>
              </w:rPr>
              <w:t>STICE IMPACT</w:t>
            </w:r>
          </w:p>
          <w:p w:rsidR="0017725B" w:rsidRPr="00C957A6" w:rsidRDefault="006B6E48" w:rsidP="00265DD8">
            <w:pPr>
              <w:rPr>
                <w:b/>
                <w:sz w:val="22"/>
                <w:u w:val="single"/>
              </w:rPr>
            </w:pPr>
          </w:p>
          <w:p w:rsidR="00273712" w:rsidRPr="00273712" w:rsidRDefault="006B6E48" w:rsidP="00265DD8">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rsidR="0017725B" w:rsidRPr="0017725B" w:rsidRDefault="006B6E48" w:rsidP="00265DD8">
            <w:pPr>
              <w:rPr>
                <w:b/>
                <w:u w:val="single"/>
              </w:rPr>
            </w:pPr>
          </w:p>
        </w:tc>
      </w:tr>
      <w:tr w:rsidR="00BE047C" w:rsidTr="00BD07C9">
        <w:tc>
          <w:tcPr>
            <w:tcW w:w="9576" w:type="dxa"/>
          </w:tcPr>
          <w:p w:rsidR="008423E4" w:rsidRPr="00A8133F" w:rsidRDefault="006B6E48" w:rsidP="00265DD8">
            <w:pPr>
              <w:rPr>
                <w:b/>
              </w:rPr>
            </w:pPr>
            <w:r w:rsidRPr="009C1E9A">
              <w:rPr>
                <w:b/>
                <w:u w:val="single"/>
              </w:rPr>
              <w:t>RULEMAKING AUTHORITY</w:t>
            </w:r>
            <w:r>
              <w:rPr>
                <w:b/>
              </w:rPr>
              <w:t xml:space="preserve"> </w:t>
            </w:r>
          </w:p>
          <w:p w:rsidR="008423E4" w:rsidRPr="00265DD8" w:rsidRDefault="006B6E48" w:rsidP="00265DD8">
            <w:pPr>
              <w:rPr>
                <w:sz w:val="20"/>
              </w:rPr>
            </w:pPr>
          </w:p>
          <w:p w:rsidR="00273712" w:rsidRDefault="006B6E48" w:rsidP="00265DD8">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265DD8" w:rsidRDefault="006B6E48" w:rsidP="00265DD8">
            <w:pPr>
              <w:rPr>
                <w:b/>
                <w:sz w:val="22"/>
              </w:rPr>
            </w:pPr>
          </w:p>
        </w:tc>
      </w:tr>
      <w:tr w:rsidR="00BE047C" w:rsidTr="00BD07C9">
        <w:tc>
          <w:tcPr>
            <w:tcW w:w="9576" w:type="dxa"/>
          </w:tcPr>
          <w:p w:rsidR="00265DD8" w:rsidRDefault="006B6E48" w:rsidP="00265DD8">
            <w:pPr>
              <w:rPr>
                <w:b/>
              </w:rPr>
            </w:pPr>
            <w:r w:rsidRPr="009C1E9A">
              <w:rPr>
                <w:b/>
                <w:u w:val="single"/>
              </w:rPr>
              <w:t>ANALYSIS</w:t>
            </w:r>
            <w:r>
              <w:rPr>
                <w:b/>
              </w:rPr>
              <w:t xml:space="preserve"> </w:t>
            </w:r>
            <w:r>
              <w:rPr>
                <w:b/>
              </w:rPr>
              <w:t xml:space="preserve">     </w:t>
            </w:r>
          </w:p>
          <w:p w:rsidR="008423E4" w:rsidRPr="001162C7" w:rsidRDefault="006B6E48" w:rsidP="00265DD8">
            <w:pPr>
              <w:rPr>
                <w:b/>
              </w:rPr>
            </w:pPr>
            <w:r>
              <w:rPr>
                <w:b/>
              </w:rPr>
              <w:t xml:space="preserve">       </w:t>
            </w:r>
          </w:p>
          <w:p w:rsidR="006B7255" w:rsidRDefault="006B6E48" w:rsidP="00265DD8">
            <w:pPr>
              <w:pStyle w:val="Header"/>
              <w:tabs>
                <w:tab w:val="clear" w:pos="4320"/>
                <w:tab w:val="clear" w:pos="8640"/>
              </w:tabs>
              <w:jc w:val="both"/>
            </w:pPr>
            <w:r w:rsidRPr="00FB7DE0">
              <w:t>S.B. 37</w:t>
            </w:r>
            <w:r>
              <w:t xml:space="preserve"> </w:t>
            </w:r>
            <w:r>
              <w:t>am</w:t>
            </w:r>
            <w:r>
              <w:t xml:space="preserve">ends the </w:t>
            </w:r>
            <w:r>
              <w:t xml:space="preserve">Occupations </w:t>
            </w:r>
            <w:r>
              <w:t xml:space="preserve">Code to revise statutory provisions authorizing action to be taken by certain state occupational licensing authorities against recipients of student financial assistance in the event of default or breach by prohibiting an occupational </w:t>
            </w:r>
            <w:r>
              <w:t xml:space="preserve">licensing authority of </w:t>
            </w:r>
            <w:r>
              <w:t>the</w:t>
            </w:r>
            <w:r>
              <w:t xml:space="preserve"> state or </w:t>
            </w:r>
            <w:r>
              <w:t xml:space="preserve">a </w:t>
            </w:r>
            <w:r>
              <w:t xml:space="preserve">political subdivision from taking </w:t>
            </w:r>
            <w:r w:rsidRPr="00C33D60">
              <w:t>disciplinary action against a person based on the person's default on a student loan or breach of a student loan repayment contract or scholarship contract</w:t>
            </w:r>
            <w:r>
              <w:t>. The bill establishes the ap</w:t>
            </w:r>
            <w:r>
              <w:t>plicability of this prohibition by:</w:t>
            </w:r>
          </w:p>
          <w:p w:rsidR="006B7255" w:rsidRDefault="006B6E48" w:rsidP="00265DD8">
            <w:pPr>
              <w:pStyle w:val="Header"/>
              <w:numPr>
                <w:ilvl w:val="0"/>
                <w:numId w:val="4"/>
              </w:numPr>
              <w:tabs>
                <w:tab w:val="clear" w:pos="4320"/>
                <w:tab w:val="clear" w:pos="8640"/>
              </w:tabs>
              <w:spacing w:before="120" w:after="120"/>
              <w:jc w:val="both"/>
            </w:pPr>
            <w:r>
              <w:t xml:space="preserve">expanding the </w:t>
            </w:r>
            <w:r>
              <w:t xml:space="preserve">applicable </w:t>
            </w:r>
            <w:r>
              <w:t>definition of "licensing authority" to include a</w:t>
            </w:r>
            <w:r>
              <w:t>n agency of a</w:t>
            </w:r>
            <w:r>
              <w:t xml:space="preserve"> political subdivision;</w:t>
            </w:r>
          </w:p>
          <w:p w:rsidR="006B7255" w:rsidRDefault="006B6E48" w:rsidP="00265DD8">
            <w:pPr>
              <w:pStyle w:val="Header"/>
              <w:numPr>
                <w:ilvl w:val="0"/>
                <w:numId w:val="4"/>
              </w:numPr>
              <w:tabs>
                <w:tab w:val="clear" w:pos="4320"/>
                <w:tab w:val="clear" w:pos="8640"/>
              </w:tabs>
              <w:spacing w:before="120" w:after="120"/>
              <w:jc w:val="both"/>
            </w:pPr>
            <w:r>
              <w:t>expanding the applicable definitions of "scholarship contract" and "student loan repayment contract" to includ</w:t>
            </w:r>
            <w:r>
              <w:t>e an agreement with a political subdivision;</w:t>
            </w:r>
          </w:p>
          <w:p w:rsidR="006B7255" w:rsidRDefault="006B6E48" w:rsidP="00265DD8">
            <w:pPr>
              <w:pStyle w:val="Header"/>
              <w:numPr>
                <w:ilvl w:val="0"/>
                <w:numId w:val="4"/>
              </w:numPr>
              <w:tabs>
                <w:tab w:val="clear" w:pos="4320"/>
                <w:tab w:val="clear" w:pos="8640"/>
              </w:tabs>
              <w:spacing w:before="120" w:after="120"/>
              <w:jc w:val="both"/>
            </w:pPr>
            <w:r>
              <w:t>expanding the applicable definition of "student loan" to include a loan made by a public or private entity; and</w:t>
            </w:r>
          </w:p>
          <w:p w:rsidR="00C541D1" w:rsidRDefault="006B6E48" w:rsidP="00265DD8">
            <w:pPr>
              <w:pStyle w:val="Header"/>
              <w:numPr>
                <w:ilvl w:val="0"/>
                <w:numId w:val="4"/>
              </w:numPr>
              <w:tabs>
                <w:tab w:val="clear" w:pos="4320"/>
                <w:tab w:val="clear" w:pos="8640"/>
              </w:tabs>
              <w:spacing w:before="120" w:after="120"/>
              <w:jc w:val="both"/>
            </w:pPr>
            <w:r>
              <w:t xml:space="preserve">repealing a provision restricting applicability of the former authorization to take </w:t>
            </w:r>
            <w:r>
              <w:t xml:space="preserve">disciplinary </w:t>
            </w:r>
            <w:r>
              <w:t>ac</w:t>
            </w:r>
            <w:r>
              <w:t xml:space="preserve">tion in the event of a default or breach to the </w:t>
            </w:r>
            <w:r w:rsidRPr="00D13B41">
              <w:t>Texas Board of Chiropractic Examiners, the State Board of Dental Examiners, the Texas State Board of Podiatric Medical Examiners, and the Texas State Board of Medical Examiners</w:t>
            </w:r>
            <w:r>
              <w:t>.</w:t>
            </w:r>
          </w:p>
          <w:p w:rsidR="00D87108" w:rsidRDefault="006B6E48" w:rsidP="00265DD8">
            <w:pPr>
              <w:pStyle w:val="Header"/>
              <w:tabs>
                <w:tab w:val="clear" w:pos="4320"/>
                <w:tab w:val="clear" w:pos="8640"/>
              </w:tabs>
              <w:jc w:val="both"/>
            </w:pPr>
            <w:r w:rsidRPr="00C957A6">
              <w:rPr>
                <w:color w:val="000000" w:themeColor="text1"/>
              </w:rPr>
              <w:t xml:space="preserve">The bill also terminates on </w:t>
            </w:r>
            <w:r w:rsidRPr="00C957A6">
              <w:rPr>
                <w:color w:val="000000" w:themeColor="text1"/>
              </w:rPr>
              <w:t>the bill's effective date a</w:t>
            </w:r>
            <w:r w:rsidRPr="00C957A6">
              <w:rPr>
                <w:color w:val="000000" w:themeColor="text1"/>
                <w:shd w:val="clear" w:color="auto" w:fill="FFFFFF"/>
              </w:rPr>
              <w:t xml:space="preserve"> disciplinary action proceeding under the former authorization that was initiated before that date and that is pending on that date.</w:t>
            </w:r>
          </w:p>
          <w:p w:rsidR="009B2589" w:rsidRPr="00265DD8" w:rsidRDefault="006B6E48" w:rsidP="00265DD8">
            <w:pPr>
              <w:pStyle w:val="Header"/>
              <w:jc w:val="both"/>
              <w:rPr>
                <w:sz w:val="22"/>
              </w:rPr>
            </w:pPr>
          </w:p>
          <w:p w:rsidR="00273712" w:rsidRDefault="006B6E48" w:rsidP="00265DD8">
            <w:pPr>
              <w:pStyle w:val="Header"/>
              <w:jc w:val="both"/>
            </w:pPr>
            <w:r w:rsidRPr="00FB7DE0">
              <w:t xml:space="preserve">S.B. 37 </w:t>
            </w:r>
            <w:r>
              <w:t xml:space="preserve">repeals Education Code provisions </w:t>
            </w:r>
            <w:r>
              <w:t>requiring the Texas Guaranteed Student Loan Corporati</w:t>
            </w:r>
            <w:r>
              <w:t xml:space="preserve">on </w:t>
            </w:r>
            <w:r>
              <w:t xml:space="preserve">to </w:t>
            </w:r>
            <w:r>
              <w:t>notify</w:t>
            </w:r>
            <w:r>
              <w:t xml:space="preserve"> a </w:t>
            </w:r>
            <w:r>
              <w:t>state licensing agency</w:t>
            </w:r>
            <w:r>
              <w:t xml:space="preserve"> of licensees who are in de</w:t>
            </w:r>
            <w:r>
              <w:t>fault on loans guaranteed by the corporation</w:t>
            </w:r>
            <w:r>
              <w:t xml:space="preserve"> and prohibiting</w:t>
            </w:r>
            <w:r>
              <w:t xml:space="preserve"> </w:t>
            </w:r>
            <w:r>
              <w:t>the renewal</w:t>
            </w:r>
            <w:r>
              <w:t xml:space="preserve"> </w:t>
            </w:r>
            <w:r>
              <w:t xml:space="preserve">of </w:t>
            </w:r>
            <w:r>
              <w:t xml:space="preserve">the licenses of </w:t>
            </w:r>
            <w:r>
              <w:t>such license</w:t>
            </w:r>
            <w:r>
              <w:t>e</w:t>
            </w:r>
            <w:r>
              <w:t>s</w:t>
            </w:r>
            <w:r>
              <w:t xml:space="preserve"> </w:t>
            </w:r>
            <w:r w:rsidRPr="00B4407C">
              <w:t xml:space="preserve">unless </w:t>
            </w:r>
            <w:r w:rsidRPr="00B4407C">
              <w:t>specified</w:t>
            </w:r>
            <w:r w:rsidRPr="00B4407C">
              <w:t xml:space="preserve"> conditions are met.</w:t>
            </w:r>
          </w:p>
          <w:p w:rsidR="00C957A6" w:rsidRDefault="006B6E48" w:rsidP="00265DD8">
            <w:pPr>
              <w:pStyle w:val="Header"/>
              <w:tabs>
                <w:tab w:val="clear" w:pos="4320"/>
                <w:tab w:val="clear" w:pos="8640"/>
              </w:tabs>
              <w:jc w:val="both"/>
            </w:pPr>
          </w:p>
          <w:p w:rsidR="0057051B" w:rsidRDefault="006B6E48" w:rsidP="00265DD8">
            <w:pPr>
              <w:pStyle w:val="Header"/>
              <w:tabs>
                <w:tab w:val="clear" w:pos="4320"/>
                <w:tab w:val="clear" w:pos="8640"/>
              </w:tabs>
              <w:jc w:val="both"/>
            </w:pPr>
            <w:r w:rsidRPr="00FB7DE0">
              <w:t xml:space="preserve">S.B. 37 </w:t>
            </w:r>
            <w:r>
              <w:t xml:space="preserve">amends the Finance Code to remove from </w:t>
            </w:r>
            <w:r>
              <w:t xml:space="preserve">the grounds on which the savings and mortgage lending commissioner may deny </w:t>
            </w:r>
            <w:r>
              <w:t>a</w:t>
            </w:r>
            <w:r>
              <w:t xml:space="preserve"> renewal application for a residential mortgage loan originator license that the person </w:t>
            </w:r>
            <w:r w:rsidRPr="00D7455A">
              <w:t>seeking the renewal of the license is in default on a student loan</w:t>
            </w:r>
            <w:r>
              <w:t>.</w:t>
            </w:r>
            <w:r>
              <w:t xml:space="preserve"> </w:t>
            </w:r>
            <w:r>
              <w:t>The bill prohibits a de</w:t>
            </w:r>
            <w:r>
              <w:t xml:space="preserve">termination by a regulatory official that an individual has not shown financial responsibility for purposes of </w:t>
            </w:r>
            <w:r>
              <w:t>the original issuance of</w:t>
            </w:r>
            <w:r>
              <w:t xml:space="preserve"> </w:t>
            </w:r>
            <w:r>
              <w:t xml:space="preserve">such </w:t>
            </w:r>
            <w:r>
              <w:t xml:space="preserve">a license from being based on the individual's default on a student loan. </w:t>
            </w:r>
          </w:p>
          <w:p w:rsidR="0057051B" w:rsidRPr="00C957A6" w:rsidRDefault="006B6E48" w:rsidP="00265DD8">
            <w:pPr>
              <w:pStyle w:val="Header"/>
              <w:tabs>
                <w:tab w:val="clear" w:pos="4320"/>
                <w:tab w:val="clear" w:pos="8640"/>
              </w:tabs>
              <w:jc w:val="both"/>
              <w:rPr>
                <w:sz w:val="22"/>
              </w:rPr>
            </w:pPr>
          </w:p>
          <w:p w:rsidR="00D20B76" w:rsidRDefault="006B6E48" w:rsidP="00265DD8">
            <w:pPr>
              <w:pStyle w:val="Header"/>
              <w:tabs>
                <w:tab w:val="clear" w:pos="4320"/>
                <w:tab w:val="clear" w:pos="8640"/>
              </w:tabs>
              <w:jc w:val="both"/>
            </w:pPr>
            <w:r w:rsidRPr="00FB7DE0">
              <w:t xml:space="preserve">S.B. 37 </w:t>
            </w:r>
            <w:r>
              <w:t>amends the Government Code to</w:t>
            </w:r>
            <w:r>
              <w:t xml:space="preserve"> r</w:t>
            </w:r>
            <w:r>
              <w:t xml:space="preserve">emove the requirement that the director of the lottery </w:t>
            </w:r>
            <w:r w:rsidRPr="00CA0F9B">
              <w:t xml:space="preserve">division </w:t>
            </w:r>
            <w:r>
              <w:t>of</w:t>
            </w:r>
            <w:r w:rsidRPr="00CA0F9B">
              <w:t xml:space="preserve"> the Texas Lottery Commission deny an application for a</w:t>
            </w:r>
            <w:r w:rsidRPr="00CA0F9B">
              <w:t xml:space="preserve"> lottery sales agent</w:t>
            </w:r>
            <w:r w:rsidRPr="00CA0F9B">
              <w:t xml:space="preserve"> </w:t>
            </w:r>
            <w:r w:rsidRPr="00CA0F9B">
              <w:t>license</w:t>
            </w:r>
            <w:r w:rsidRPr="00CA0F9B">
              <w:t xml:space="preserve"> </w:t>
            </w:r>
            <w:r w:rsidRPr="00CA0F9B">
              <w:t>or</w:t>
            </w:r>
            <w:r>
              <w:t xml:space="preserve"> that the </w:t>
            </w:r>
            <w:r>
              <w:t xml:space="preserve">lottery </w:t>
            </w:r>
            <w:r>
              <w:t xml:space="preserve">commission suspend or revoke </w:t>
            </w:r>
            <w:r>
              <w:t xml:space="preserve">such </w:t>
            </w:r>
            <w:r>
              <w:t xml:space="preserve">a license </w:t>
            </w:r>
            <w:r>
              <w:t xml:space="preserve">for an applicant or sales agent, as </w:t>
            </w:r>
            <w:r>
              <w:t>applicable,</w:t>
            </w:r>
            <w:r>
              <w:t xml:space="preserve"> who has been finally determined </w:t>
            </w:r>
            <w:r w:rsidRPr="009767EA">
              <w:t>to be in default on a loan made under</w:t>
            </w:r>
            <w:r>
              <w:t xml:space="preserve"> </w:t>
            </w:r>
            <w:r>
              <w:t>the student loan program administered by the Texas Higher Education Coordinating Board</w:t>
            </w:r>
            <w:r w:rsidRPr="009767EA">
              <w:t xml:space="preserve"> or on a loan guaranteed </w:t>
            </w:r>
            <w:r>
              <w:t>by the corporation</w:t>
            </w:r>
            <w:r>
              <w:t xml:space="preserve">. </w:t>
            </w:r>
            <w:r>
              <w:t>The bill repeals provisions authorizing the</w:t>
            </w:r>
            <w:r>
              <w:t xml:space="preserve"> </w:t>
            </w:r>
            <w:r>
              <w:t>Texas S</w:t>
            </w:r>
            <w:r w:rsidRPr="00D7455A">
              <w:t xml:space="preserve">upreme </w:t>
            </w:r>
            <w:r>
              <w:t>C</w:t>
            </w:r>
            <w:r w:rsidRPr="00D7455A">
              <w:t>ourt</w:t>
            </w:r>
            <w:r>
              <w:t xml:space="preserve"> </w:t>
            </w:r>
            <w:r>
              <w:t xml:space="preserve">to adopt rules relating to the nonrenewal of the license of a lawyer who is in default on a loan guaranteed by the </w:t>
            </w:r>
            <w:r>
              <w:t>corporation</w:t>
            </w:r>
            <w:r>
              <w:t xml:space="preserve"> and authorizing the supreme court to authorize and the Judicial Branch Certification Commission to adopt rul</w:t>
            </w:r>
            <w:r>
              <w:t>es relating to the nonrenewal of the certification of a court reporter who is in default on such a loan.</w:t>
            </w:r>
            <w:r>
              <w:t xml:space="preserve">          </w:t>
            </w:r>
          </w:p>
          <w:p w:rsidR="00273712" w:rsidRPr="00C957A6" w:rsidRDefault="006B6E48" w:rsidP="00265DD8">
            <w:pPr>
              <w:pStyle w:val="Header"/>
              <w:tabs>
                <w:tab w:val="clear" w:pos="4320"/>
                <w:tab w:val="clear" w:pos="8640"/>
              </w:tabs>
              <w:jc w:val="both"/>
              <w:rPr>
                <w:sz w:val="22"/>
              </w:rPr>
            </w:pPr>
          </w:p>
          <w:p w:rsidR="00D20B76" w:rsidRDefault="006B6E48" w:rsidP="00265DD8">
            <w:pPr>
              <w:pStyle w:val="Header"/>
              <w:tabs>
                <w:tab w:val="clear" w:pos="4320"/>
                <w:tab w:val="clear" w:pos="8640"/>
              </w:tabs>
              <w:jc w:val="both"/>
            </w:pPr>
            <w:r w:rsidRPr="00FB7DE0">
              <w:t xml:space="preserve">S.B. 37 </w:t>
            </w:r>
            <w:r>
              <w:t>repeals the following provisions:</w:t>
            </w:r>
          </w:p>
          <w:p w:rsidR="00D20B76" w:rsidRDefault="006B6E48" w:rsidP="00265DD8">
            <w:pPr>
              <w:pStyle w:val="Header"/>
              <w:numPr>
                <w:ilvl w:val="0"/>
                <w:numId w:val="1"/>
              </w:numPr>
              <w:spacing w:before="120" w:after="120"/>
              <w:jc w:val="both"/>
            </w:pPr>
            <w:r>
              <w:t>Section 57.491, Education Code</w:t>
            </w:r>
          </w:p>
          <w:p w:rsidR="00D20B76" w:rsidRDefault="006B6E48" w:rsidP="00265DD8">
            <w:pPr>
              <w:pStyle w:val="Header"/>
              <w:numPr>
                <w:ilvl w:val="0"/>
                <w:numId w:val="1"/>
              </w:numPr>
              <w:spacing w:before="120" w:after="120"/>
              <w:jc w:val="both"/>
            </w:pPr>
            <w:r>
              <w:t>Section 82.022(c), Government Code</w:t>
            </w:r>
          </w:p>
          <w:p w:rsidR="000F1CC3" w:rsidRDefault="006B6E48" w:rsidP="00265DD8">
            <w:pPr>
              <w:pStyle w:val="Header"/>
              <w:numPr>
                <w:ilvl w:val="0"/>
                <w:numId w:val="1"/>
              </w:numPr>
              <w:spacing w:before="120" w:after="120"/>
              <w:jc w:val="both"/>
            </w:pPr>
            <w:r>
              <w:t>Section 154.110(e), Government C</w:t>
            </w:r>
            <w:r>
              <w:t>ode</w:t>
            </w:r>
          </w:p>
          <w:p w:rsidR="00D20B76" w:rsidRDefault="006B6E48" w:rsidP="00265DD8">
            <w:pPr>
              <w:pStyle w:val="Header"/>
              <w:numPr>
                <w:ilvl w:val="0"/>
                <w:numId w:val="1"/>
              </w:numPr>
              <w:jc w:val="both"/>
            </w:pPr>
            <w:r>
              <w:t>Sections 56.001(1), 56.002, 56.004, 56.005, and 56.006</w:t>
            </w:r>
            <w:r w:rsidRPr="00D7455A">
              <w:t>, Occupations Code</w:t>
            </w:r>
          </w:p>
          <w:p w:rsidR="008423E4" w:rsidRPr="00835628" w:rsidRDefault="006B6E48" w:rsidP="00265DD8">
            <w:pPr>
              <w:rPr>
                <w:b/>
              </w:rPr>
            </w:pPr>
          </w:p>
        </w:tc>
      </w:tr>
      <w:tr w:rsidR="00BE047C" w:rsidTr="00BD07C9">
        <w:tc>
          <w:tcPr>
            <w:tcW w:w="9576" w:type="dxa"/>
          </w:tcPr>
          <w:p w:rsidR="008423E4" w:rsidRPr="00A8133F" w:rsidRDefault="006B6E48" w:rsidP="00265DD8">
            <w:pPr>
              <w:rPr>
                <w:b/>
              </w:rPr>
            </w:pPr>
            <w:r w:rsidRPr="009C1E9A">
              <w:rPr>
                <w:b/>
                <w:u w:val="single"/>
              </w:rPr>
              <w:t>EFFECTIVE DATE</w:t>
            </w:r>
            <w:r>
              <w:rPr>
                <w:b/>
              </w:rPr>
              <w:t xml:space="preserve"> </w:t>
            </w:r>
          </w:p>
          <w:p w:rsidR="008423E4" w:rsidRPr="00C957A6" w:rsidRDefault="006B6E48" w:rsidP="00265DD8">
            <w:pPr>
              <w:rPr>
                <w:sz w:val="22"/>
              </w:rPr>
            </w:pPr>
          </w:p>
          <w:p w:rsidR="008423E4" w:rsidRPr="003624F2" w:rsidRDefault="006B6E48" w:rsidP="00265DD8">
            <w:pPr>
              <w:pStyle w:val="Header"/>
              <w:tabs>
                <w:tab w:val="clear" w:pos="4320"/>
                <w:tab w:val="clear" w:pos="8640"/>
              </w:tabs>
              <w:jc w:val="both"/>
            </w:pPr>
            <w:r>
              <w:t>On passage, or, if the bill does not receive the necessary vote, September 1, 2019.</w:t>
            </w:r>
          </w:p>
          <w:p w:rsidR="008423E4" w:rsidRPr="00233FDB" w:rsidRDefault="006B6E48" w:rsidP="00265DD8">
            <w:pPr>
              <w:rPr>
                <w:b/>
              </w:rPr>
            </w:pPr>
          </w:p>
        </w:tc>
      </w:tr>
      <w:tr w:rsidR="00BE047C" w:rsidTr="00BD07C9">
        <w:tc>
          <w:tcPr>
            <w:tcW w:w="9576" w:type="dxa"/>
          </w:tcPr>
          <w:p w:rsidR="00095E61" w:rsidRPr="00565E9E" w:rsidRDefault="006B6E48" w:rsidP="00265DD8">
            <w:pPr>
              <w:jc w:val="both"/>
              <w:rPr>
                <w:b/>
                <w:u w:val="single"/>
              </w:rPr>
            </w:pPr>
          </w:p>
        </w:tc>
      </w:tr>
    </w:tbl>
    <w:p w:rsidR="004108C3" w:rsidRPr="00314B9B" w:rsidRDefault="006B6E48" w:rsidP="008423E4">
      <w:pPr>
        <w:rPr>
          <w:sz w:val="2"/>
          <w:szCs w:val="2"/>
        </w:rPr>
      </w:pPr>
    </w:p>
    <w:sectPr w:rsidR="004108C3" w:rsidRPr="00314B9B"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6E48">
      <w:r>
        <w:separator/>
      </w:r>
    </w:p>
  </w:endnote>
  <w:endnote w:type="continuationSeparator" w:id="0">
    <w:p w:rsidR="00000000" w:rsidRDefault="006B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A2" w:rsidRDefault="006B6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E047C" w:rsidTr="009C1E9A">
      <w:trPr>
        <w:cantSplit/>
      </w:trPr>
      <w:tc>
        <w:tcPr>
          <w:tcW w:w="0" w:type="pct"/>
        </w:tcPr>
        <w:p w:rsidR="00593048" w:rsidRDefault="006B6E48" w:rsidP="009C1E9A">
          <w:pPr>
            <w:pStyle w:val="Footer"/>
            <w:tabs>
              <w:tab w:val="clear" w:pos="8640"/>
              <w:tab w:val="right" w:pos="9360"/>
            </w:tabs>
          </w:pPr>
        </w:p>
      </w:tc>
      <w:tc>
        <w:tcPr>
          <w:tcW w:w="2395" w:type="pct"/>
        </w:tcPr>
        <w:p w:rsidR="00593048" w:rsidRDefault="006B6E48" w:rsidP="009C1E9A">
          <w:pPr>
            <w:pStyle w:val="Footer"/>
            <w:tabs>
              <w:tab w:val="clear" w:pos="8640"/>
              <w:tab w:val="right" w:pos="9360"/>
            </w:tabs>
          </w:pPr>
        </w:p>
        <w:p w:rsidR="00593048" w:rsidRDefault="006B6E48" w:rsidP="009C1E9A">
          <w:pPr>
            <w:pStyle w:val="Footer"/>
            <w:tabs>
              <w:tab w:val="clear" w:pos="8640"/>
              <w:tab w:val="right" w:pos="9360"/>
            </w:tabs>
          </w:pPr>
        </w:p>
        <w:p w:rsidR="00593048" w:rsidRDefault="006B6E48" w:rsidP="009C1E9A">
          <w:pPr>
            <w:pStyle w:val="Footer"/>
            <w:tabs>
              <w:tab w:val="clear" w:pos="8640"/>
              <w:tab w:val="right" w:pos="9360"/>
            </w:tabs>
          </w:pPr>
        </w:p>
      </w:tc>
      <w:tc>
        <w:tcPr>
          <w:tcW w:w="2453" w:type="pct"/>
        </w:tcPr>
        <w:p w:rsidR="00593048" w:rsidRDefault="006B6E48" w:rsidP="009C1E9A">
          <w:pPr>
            <w:pStyle w:val="Footer"/>
            <w:tabs>
              <w:tab w:val="clear" w:pos="8640"/>
              <w:tab w:val="right" w:pos="9360"/>
            </w:tabs>
            <w:jc w:val="right"/>
          </w:pPr>
        </w:p>
      </w:tc>
    </w:tr>
    <w:tr w:rsidR="00BE047C" w:rsidTr="009C1E9A">
      <w:trPr>
        <w:cantSplit/>
      </w:trPr>
      <w:tc>
        <w:tcPr>
          <w:tcW w:w="0" w:type="pct"/>
        </w:tcPr>
        <w:p w:rsidR="00593048" w:rsidRDefault="006B6E48" w:rsidP="009C1E9A">
          <w:pPr>
            <w:pStyle w:val="Footer"/>
            <w:tabs>
              <w:tab w:val="clear" w:pos="8640"/>
              <w:tab w:val="right" w:pos="9360"/>
            </w:tabs>
          </w:pPr>
        </w:p>
      </w:tc>
      <w:tc>
        <w:tcPr>
          <w:tcW w:w="2395" w:type="pct"/>
        </w:tcPr>
        <w:p w:rsidR="00593048" w:rsidRPr="009C1E9A" w:rsidRDefault="006B6E48" w:rsidP="009C1E9A">
          <w:pPr>
            <w:pStyle w:val="Footer"/>
            <w:tabs>
              <w:tab w:val="clear" w:pos="8640"/>
              <w:tab w:val="right" w:pos="9360"/>
            </w:tabs>
            <w:rPr>
              <w:rFonts w:ascii="Shruti" w:hAnsi="Shruti"/>
              <w:sz w:val="22"/>
            </w:rPr>
          </w:pPr>
          <w:r>
            <w:rPr>
              <w:rFonts w:ascii="Shruti" w:hAnsi="Shruti"/>
              <w:sz w:val="22"/>
            </w:rPr>
            <w:t>86R 31175</w:t>
          </w:r>
        </w:p>
      </w:tc>
      <w:tc>
        <w:tcPr>
          <w:tcW w:w="2453" w:type="pct"/>
        </w:tcPr>
        <w:p w:rsidR="00593048" w:rsidRDefault="006B6E48" w:rsidP="009C1E9A">
          <w:pPr>
            <w:pStyle w:val="Footer"/>
            <w:tabs>
              <w:tab w:val="clear" w:pos="8640"/>
              <w:tab w:val="right" w:pos="9360"/>
            </w:tabs>
            <w:jc w:val="right"/>
          </w:pPr>
          <w:r>
            <w:fldChar w:fldCharType="begin"/>
          </w:r>
          <w:r>
            <w:instrText xml:space="preserve"> DOCPROPERTY  OTID  \* MERGEFORMAT </w:instrText>
          </w:r>
          <w:r>
            <w:fldChar w:fldCharType="separate"/>
          </w:r>
          <w:r>
            <w:t>19.121.687</w:t>
          </w:r>
          <w:r>
            <w:fldChar w:fldCharType="end"/>
          </w:r>
        </w:p>
      </w:tc>
    </w:tr>
    <w:tr w:rsidR="00BE047C" w:rsidTr="009C1E9A">
      <w:trPr>
        <w:cantSplit/>
      </w:trPr>
      <w:tc>
        <w:tcPr>
          <w:tcW w:w="0" w:type="pct"/>
        </w:tcPr>
        <w:p w:rsidR="00593048" w:rsidRDefault="006B6E48" w:rsidP="009C1E9A">
          <w:pPr>
            <w:pStyle w:val="Footer"/>
            <w:tabs>
              <w:tab w:val="clear" w:pos="4320"/>
              <w:tab w:val="clear" w:pos="8640"/>
              <w:tab w:val="left" w:pos="2865"/>
            </w:tabs>
          </w:pPr>
        </w:p>
      </w:tc>
      <w:tc>
        <w:tcPr>
          <w:tcW w:w="2395" w:type="pct"/>
        </w:tcPr>
        <w:p w:rsidR="00593048" w:rsidRPr="009C1E9A" w:rsidRDefault="006B6E48" w:rsidP="009C1E9A">
          <w:pPr>
            <w:pStyle w:val="Footer"/>
            <w:tabs>
              <w:tab w:val="clear" w:pos="4320"/>
              <w:tab w:val="clear" w:pos="8640"/>
              <w:tab w:val="left" w:pos="2865"/>
            </w:tabs>
            <w:rPr>
              <w:rFonts w:ascii="Shruti" w:hAnsi="Shruti"/>
              <w:sz w:val="22"/>
            </w:rPr>
          </w:pPr>
        </w:p>
      </w:tc>
      <w:tc>
        <w:tcPr>
          <w:tcW w:w="2453" w:type="pct"/>
        </w:tcPr>
        <w:p w:rsidR="00593048" w:rsidRDefault="006B6E48" w:rsidP="006D504F">
          <w:pPr>
            <w:pStyle w:val="Footer"/>
            <w:rPr>
              <w:rStyle w:val="PageNumber"/>
            </w:rPr>
          </w:pPr>
        </w:p>
        <w:p w:rsidR="00593048" w:rsidRDefault="006B6E48" w:rsidP="009C1E9A">
          <w:pPr>
            <w:pStyle w:val="Footer"/>
            <w:tabs>
              <w:tab w:val="clear" w:pos="8640"/>
              <w:tab w:val="right" w:pos="9360"/>
            </w:tabs>
            <w:jc w:val="right"/>
          </w:pPr>
        </w:p>
      </w:tc>
    </w:tr>
    <w:tr w:rsidR="00BE047C" w:rsidTr="009C1E9A">
      <w:trPr>
        <w:cantSplit/>
        <w:trHeight w:val="323"/>
      </w:trPr>
      <w:tc>
        <w:tcPr>
          <w:tcW w:w="0" w:type="pct"/>
          <w:gridSpan w:val="3"/>
        </w:tcPr>
        <w:p w:rsidR="00593048" w:rsidRDefault="006B6E4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3048" w:rsidRDefault="006B6E48" w:rsidP="009C1E9A">
          <w:pPr>
            <w:pStyle w:val="Footer"/>
            <w:tabs>
              <w:tab w:val="clear" w:pos="8640"/>
              <w:tab w:val="right" w:pos="9360"/>
            </w:tabs>
            <w:jc w:val="center"/>
          </w:pPr>
        </w:p>
      </w:tc>
    </w:tr>
  </w:tbl>
  <w:p w:rsidR="00593048" w:rsidRPr="00FF6F72" w:rsidRDefault="006B6E48"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A2" w:rsidRDefault="006B6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6E48">
      <w:r>
        <w:separator/>
      </w:r>
    </w:p>
  </w:footnote>
  <w:footnote w:type="continuationSeparator" w:id="0">
    <w:p w:rsidR="00000000" w:rsidRDefault="006B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A2" w:rsidRDefault="006B6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A2" w:rsidRDefault="006B6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A2" w:rsidRDefault="006B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533DA"/>
    <w:multiLevelType w:val="hybridMultilevel"/>
    <w:tmpl w:val="C6D8C1CA"/>
    <w:lvl w:ilvl="0" w:tplc="37B215D8">
      <w:start w:val="1"/>
      <w:numFmt w:val="bullet"/>
      <w:lvlText w:val=""/>
      <w:lvlJc w:val="left"/>
      <w:pPr>
        <w:tabs>
          <w:tab w:val="num" w:pos="720"/>
        </w:tabs>
        <w:ind w:left="720" w:hanging="360"/>
      </w:pPr>
      <w:rPr>
        <w:rFonts w:ascii="Symbol" w:hAnsi="Symbol" w:hint="default"/>
      </w:rPr>
    </w:lvl>
    <w:lvl w:ilvl="1" w:tplc="4BC2D7B0" w:tentative="1">
      <w:start w:val="1"/>
      <w:numFmt w:val="bullet"/>
      <w:lvlText w:val="o"/>
      <w:lvlJc w:val="left"/>
      <w:pPr>
        <w:ind w:left="1440" w:hanging="360"/>
      </w:pPr>
      <w:rPr>
        <w:rFonts w:ascii="Courier New" w:hAnsi="Courier New" w:cs="Courier New" w:hint="default"/>
      </w:rPr>
    </w:lvl>
    <w:lvl w:ilvl="2" w:tplc="0FB4EF62" w:tentative="1">
      <w:start w:val="1"/>
      <w:numFmt w:val="bullet"/>
      <w:lvlText w:val=""/>
      <w:lvlJc w:val="left"/>
      <w:pPr>
        <w:ind w:left="2160" w:hanging="360"/>
      </w:pPr>
      <w:rPr>
        <w:rFonts w:ascii="Wingdings" w:hAnsi="Wingdings" w:hint="default"/>
      </w:rPr>
    </w:lvl>
    <w:lvl w:ilvl="3" w:tplc="0548DC52" w:tentative="1">
      <w:start w:val="1"/>
      <w:numFmt w:val="bullet"/>
      <w:lvlText w:val=""/>
      <w:lvlJc w:val="left"/>
      <w:pPr>
        <w:ind w:left="2880" w:hanging="360"/>
      </w:pPr>
      <w:rPr>
        <w:rFonts w:ascii="Symbol" w:hAnsi="Symbol" w:hint="default"/>
      </w:rPr>
    </w:lvl>
    <w:lvl w:ilvl="4" w:tplc="CE58A69A" w:tentative="1">
      <w:start w:val="1"/>
      <w:numFmt w:val="bullet"/>
      <w:lvlText w:val="o"/>
      <w:lvlJc w:val="left"/>
      <w:pPr>
        <w:ind w:left="3600" w:hanging="360"/>
      </w:pPr>
      <w:rPr>
        <w:rFonts w:ascii="Courier New" w:hAnsi="Courier New" w:cs="Courier New" w:hint="default"/>
      </w:rPr>
    </w:lvl>
    <w:lvl w:ilvl="5" w:tplc="E00A8E44" w:tentative="1">
      <w:start w:val="1"/>
      <w:numFmt w:val="bullet"/>
      <w:lvlText w:val=""/>
      <w:lvlJc w:val="left"/>
      <w:pPr>
        <w:ind w:left="4320" w:hanging="360"/>
      </w:pPr>
      <w:rPr>
        <w:rFonts w:ascii="Wingdings" w:hAnsi="Wingdings" w:hint="default"/>
      </w:rPr>
    </w:lvl>
    <w:lvl w:ilvl="6" w:tplc="34C6FB98" w:tentative="1">
      <w:start w:val="1"/>
      <w:numFmt w:val="bullet"/>
      <w:lvlText w:val=""/>
      <w:lvlJc w:val="left"/>
      <w:pPr>
        <w:ind w:left="5040" w:hanging="360"/>
      </w:pPr>
      <w:rPr>
        <w:rFonts w:ascii="Symbol" w:hAnsi="Symbol" w:hint="default"/>
      </w:rPr>
    </w:lvl>
    <w:lvl w:ilvl="7" w:tplc="BC580478" w:tentative="1">
      <w:start w:val="1"/>
      <w:numFmt w:val="bullet"/>
      <w:lvlText w:val="o"/>
      <w:lvlJc w:val="left"/>
      <w:pPr>
        <w:ind w:left="5760" w:hanging="360"/>
      </w:pPr>
      <w:rPr>
        <w:rFonts w:ascii="Courier New" w:hAnsi="Courier New" w:cs="Courier New" w:hint="default"/>
      </w:rPr>
    </w:lvl>
    <w:lvl w:ilvl="8" w:tplc="BBA05C5C" w:tentative="1">
      <w:start w:val="1"/>
      <w:numFmt w:val="bullet"/>
      <w:lvlText w:val=""/>
      <w:lvlJc w:val="left"/>
      <w:pPr>
        <w:ind w:left="6480" w:hanging="360"/>
      </w:pPr>
      <w:rPr>
        <w:rFonts w:ascii="Wingdings" w:hAnsi="Wingdings" w:hint="default"/>
      </w:rPr>
    </w:lvl>
  </w:abstractNum>
  <w:abstractNum w:abstractNumId="1" w15:restartNumberingAfterBreak="0">
    <w:nsid w:val="25530915"/>
    <w:multiLevelType w:val="hybridMultilevel"/>
    <w:tmpl w:val="11B23542"/>
    <w:lvl w:ilvl="0" w:tplc="AE6AA712">
      <w:start w:val="1"/>
      <w:numFmt w:val="bullet"/>
      <w:lvlText w:val=""/>
      <w:lvlJc w:val="left"/>
      <w:pPr>
        <w:ind w:left="720" w:hanging="360"/>
      </w:pPr>
      <w:rPr>
        <w:rFonts w:ascii="Symbol" w:hAnsi="Symbol" w:hint="default"/>
      </w:rPr>
    </w:lvl>
    <w:lvl w:ilvl="1" w:tplc="EB92DB00" w:tentative="1">
      <w:start w:val="1"/>
      <w:numFmt w:val="bullet"/>
      <w:lvlText w:val="o"/>
      <w:lvlJc w:val="left"/>
      <w:pPr>
        <w:ind w:left="1440" w:hanging="360"/>
      </w:pPr>
      <w:rPr>
        <w:rFonts w:ascii="Courier New" w:hAnsi="Courier New" w:cs="Courier New" w:hint="default"/>
      </w:rPr>
    </w:lvl>
    <w:lvl w:ilvl="2" w:tplc="39746206" w:tentative="1">
      <w:start w:val="1"/>
      <w:numFmt w:val="bullet"/>
      <w:lvlText w:val=""/>
      <w:lvlJc w:val="left"/>
      <w:pPr>
        <w:ind w:left="2160" w:hanging="360"/>
      </w:pPr>
      <w:rPr>
        <w:rFonts w:ascii="Wingdings" w:hAnsi="Wingdings" w:hint="default"/>
      </w:rPr>
    </w:lvl>
    <w:lvl w:ilvl="3" w:tplc="FB1E50B0" w:tentative="1">
      <w:start w:val="1"/>
      <w:numFmt w:val="bullet"/>
      <w:lvlText w:val=""/>
      <w:lvlJc w:val="left"/>
      <w:pPr>
        <w:ind w:left="2880" w:hanging="360"/>
      </w:pPr>
      <w:rPr>
        <w:rFonts w:ascii="Symbol" w:hAnsi="Symbol" w:hint="default"/>
      </w:rPr>
    </w:lvl>
    <w:lvl w:ilvl="4" w:tplc="D01654DE" w:tentative="1">
      <w:start w:val="1"/>
      <w:numFmt w:val="bullet"/>
      <w:lvlText w:val="o"/>
      <w:lvlJc w:val="left"/>
      <w:pPr>
        <w:ind w:left="3600" w:hanging="360"/>
      </w:pPr>
      <w:rPr>
        <w:rFonts w:ascii="Courier New" w:hAnsi="Courier New" w:cs="Courier New" w:hint="default"/>
      </w:rPr>
    </w:lvl>
    <w:lvl w:ilvl="5" w:tplc="293EAE80" w:tentative="1">
      <w:start w:val="1"/>
      <w:numFmt w:val="bullet"/>
      <w:lvlText w:val=""/>
      <w:lvlJc w:val="left"/>
      <w:pPr>
        <w:ind w:left="4320" w:hanging="360"/>
      </w:pPr>
      <w:rPr>
        <w:rFonts w:ascii="Wingdings" w:hAnsi="Wingdings" w:hint="default"/>
      </w:rPr>
    </w:lvl>
    <w:lvl w:ilvl="6" w:tplc="D6D08350" w:tentative="1">
      <w:start w:val="1"/>
      <w:numFmt w:val="bullet"/>
      <w:lvlText w:val=""/>
      <w:lvlJc w:val="left"/>
      <w:pPr>
        <w:ind w:left="5040" w:hanging="360"/>
      </w:pPr>
      <w:rPr>
        <w:rFonts w:ascii="Symbol" w:hAnsi="Symbol" w:hint="default"/>
      </w:rPr>
    </w:lvl>
    <w:lvl w:ilvl="7" w:tplc="33AA86F8" w:tentative="1">
      <w:start w:val="1"/>
      <w:numFmt w:val="bullet"/>
      <w:lvlText w:val="o"/>
      <w:lvlJc w:val="left"/>
      <w:pPr>
        <w:ind w:left="5760" w:hanging="360"/>
      </w:pPr>
      <w:rPr>
        <w:rFonts w:ascii="Courier New" w:hAnsi="Courier New" w:cs="Courier New" w:hint="default"/>
      </w:rPr>
    </w:lvl>
    <w:lvl w:ilvl="8" w:tplc="589A9EB8" w:tentative="1">
      <w:start w:val="1"/>
      <w:numFmt w:val="bullet"/>
      <w:lvlText w:val=""/>
      <w:lvlJc w:val="left"/>
      <w:pPr>
        <w:ind w:left="6480" w:hanging="360"/>
      </w:pPr>
      <w:rPr>
        <w:rFonts w:ascii="Wingdings" w:hAnsi="Wingdings" w:hint="default"/>
      </w:rPr>
    </w:lvl>
  </w:abstractNum>
  <w:abstractNum w:abstractNumId="2" w15:restartNumberingAfterBreak="0">
    <w:nsid w:val="4540693E"/>
    <w:multiLevelType w:val="hybridMultilevel"/>
    <w:tmpl w:val="73DAFFBE"/>
    <w:lvl w:ilvl="0" w:tplc="BCBC280C">
      <w:start w:val="1"/>
      <w:numFmt w:val="bullet"/>
      <w:lvlText w:val=""/>
      <w:lvlJc w:val="left"/>
      <w:pPr>
        <w:tabs>
          <w:tab w:val="num" w:pos="720"/>
        </w:tabs>
        <w:ind w:left="720" w:hanging="360"/>
      </w:pPr>
      <w:rPr>
        <w:rFonts w:ascii="Symbol" w:hAnsi="Symbol" w:hint="default"/>
      </w:rPr>
    </w:lvl>
    <w:lvl w:ilvl="1" w:tplc="E19471CC" w:tentative="1">
      <w:start w:val="1"/>
      <w:numFmt w:val="bullet"/>
      <w:lvlText w:val="o"/>
      <w:lvlJc w:val="left"/>
      <w:pPr>
        <w:ind w:left="1440" w:hanging="360"/>
      </w:pPr>
      <w:rPr>
        <w:rFonts w:ascii="Courier New" w:hAnsi="Courier New" w:cs="Courier New" w:hint="default"/>
      </w:rPr>
    </w:lvl>
    <w:lvl w:ilvl="2" w:tplc="32B0EA3C" w:tentative="1">
      <w:start w:val="1"/>
      <w:numFmt w:val="bullet"/>
      <w:lvlText w:val=""/>
      <w:lvlJc w:val="left"/>
      <w:pPr>
        <w:ind w:left="2160" w:hanging="360"/>
      </w:pPr>
      <w:rPr>
        <w:rFonts w:ascii="Wingdings" w:hAnsi="Wingdings" w:hint="default"/>
      </w:rPr>
    </w:lvl>
    <w:lvl w:ilvl="3" w:tplc="B2EA3062" w:tentative="1">
      <w:start w:val="1"/>
      <w:numFmt w:val="bullet"/>
      <w:lvlText w:val=""/>
      <w:lvlJc w:val="left"/>
      <w:pPr>
        <w:ind w:left="2880" w:hanging="360"/>
      </w:pPr>
      <w:rPr>
        <w:rFonts w:ascii="Symbol" w:hAnsi="Symbol" w:hint="default"/>
      </w:rPr>
    </w:lvl>
    <w:lvl w:ilvl="4" w:tplc="A73AC752" w:tentative="1">
      <w:start w:val="1"/>
      <w:numFmt w:val="bullet"/>
      <w:lvlText w:val="o"/>
      <w:lvlJc w:val="left"/>
      <w:pPr>
        <w:ind w:left="3600" w:hanging="360"/>
      </w:pPr>
      <w:rPr>
        <w:rFonts w:ascii="Courier New" w:hAnsi="Courier New" w:cs="Courier New" w:hint="default"/>
      </w:rPr>
    </w:lvl>
    <w:lvl w:ilvl="5" w:tplc="19FE7914" w:tentative="1">
      <w:start w:val="1"/>
      <w:numFmt w:val="bullet"/>
      <w:lvlText w:val=""/>
      <w:lvlJc w:val="left"/>
      <w:pPr>
        <w:ind w:left="4320" w:hanging="360"/>
      </w:pPr>
      <w:rPr>
        <w:rFonts w:ascii="Wingdings" w:hAnsi="Wingdings" w:hint="default"/>
      </w:rPr>
    </w:lvl>
    <w:lvl w:ilvl="6" w:tplc="933CFC4A" w:tentative="1">
      <w:start w:val="1"/>
      <w:numFmt w:val="bullet"/>
      <w:lvlText w:val=""/>
      <w:lvlJc w:val="left"/>
      <w:pPr>
        <w:ind w:left="5040" w:hanging="360"/>
      </w:pPr>
      <w:rPr>
        <w:rFonts w:ascii="Symbol" w:hAnsi="Symbol" w:hint="default"/>
      </w:rPr>
    </w:lvl>
    <w:lvl w:ilvl="7" w:tplc="39C83E1A" w:tentative="1">
      <w:start w:val="1"/>
      <w:numFmt w:val="bullet"/>
      <w:lvlText w:val="o"/>
      <w:lvlJc w:val="left"/>
      <w:pPr>
        <w:ind w:left="5760" w:hanging="360"/>
      </w:pPr>
      <w:rPr>
        <w:rFonts w:ascii="Courier New" w:hAnsi="Courier New" w:cs="Courier New" w:hint="default"/>
      </w:rPr>
    </w:lvl>
    <w:lvl w:ilvl="8" w:tplc="F7C6244C" w:tentative="1">
      <w:start w:val="1"/>
      <w:numFmt w:val="bullet"/>
      <w:lvlText w:val=""/>
      <w:lvlJc w:val="left"/>
      <w:pPr>
        <w:ind w:left="6480" w:hanging="360"/>
      </w:pPr>
      <w:rPr>
        <w:rFonts w:ascii="Wingdings" w:hAnsi="Wingdings" w:hint="default"/>
      </w:rPr>
    </w:lvl>
  </w:abstractNum>
  <w:abstractNum w:abstractNumId="3" w15:restartNumberingAfterBreak="0">
    <w:nsid w:val="5BA20FAE"/>
    <w:multiLevelType w:val="hybridMultilevel"/>
    <w:tmpl w:val="984AE060"/>
    <w:lvl w:ilvl="0" w:tplc="8C062A06">
      <w:start w:val="1"/>
      <w:numFmt w:val="bullet"/>
      <w:lvlText w:val=""/>
      <w:lvlJc w:val="left"/>
      <w:pPr>
        <w:ind w:left="1080" w:hanging="360"/>
      </w:pPr>
      <w:rPr>
        <w:rFonts w:ascii="Symbol" w:hAnsi="Symbol" w:hint="default"/>
      </w:rPr>
    </w:lvl>
    <w:lvl w:ilvl="1" w:tplc="A71C4800" w:tentative="1">
      <w:start w:val="1"/>
      <w:numFmt w:val="bullet"/>
      <w:lvlText w:val="o"/>
      <w:lvlJc w:val="left"/>
      <w:pPr>
        <w:ind w:left="1800" w:hanging="360"/>
      </w:pPr>
      <w:rPr>
        <w:rFonts w:ascii="Courier New" w:hAnsi="Courier New" w:cs="Courier New" w:hint="default"/>
      </w:rPr>
    </w:lvl>
    <w:lvl w:ilvl="2" w:tplc="A6DA845C" w:tentative="1">
      <w:start w:val="1"/>
      <w:numFmt w:val="bullet"/>
      <w:lvlText w:val=""/>
      <w:lvlJc w:val="left"/>
      <w:pPr>
        <w:ind w:left="2520" w:hanging="360"/>
      </w:pPr>
      <w:rPr>
        <w:rFonts w:ascii="Wingdings" w:hAnsi="Wingdings" w:hint="default"/>
      </w:rPr>
    </w:lvl>
    <w:lvl w:ilvl="3" w:tplc="51F4584E" w:tentative="1">
      <w:start w:val="1"/>
      <w:numFmt w:val="bullet"/>
      <w:lvlText w:val=""/>
      <w:lvlJc w:val="left"/>
      <w:pPr>
        <w:ind w:left="3240" w:hanging="360"/>
      </w:pPr>
      <w:rPr>
        <w:rFonts w:ascii="Symbol" w:hAnsi="Symbol" w:hint="default"/>
      </w:rPr>
    </w:lvl>
    <w:lvl w:ilvl="4" w:tplc="FFCCE45C" w:tentative="1">
      <w:start w:val="1"/>
      <w:numFmt w:val="bullet"/>
      <w:lvlText w:val="o"/>
      <w:lvlJc w:val="left"/>
      <w:pPr>
        <w:ind w:left="3960" w:hanging="360"/>
      </w:pPr>
      <w:rPr>
        <w:rFonts w:ascii="Courier New" w:hAnsi="Courier New" w:cs="Courier New" w:hint="default"/>
      </w:rPr>
    </w:lvl>
    <w:lvl w:ilvl="5" w:tplc="3DF8A2DA" w:tentative="1">
      <w:start w:val="1"/>
      <w:numFmt w:val="bullet"/>
      <w:lvlText w:val=""/>
      <w:lvlJc w:val="left"/>
      <w:pPr>
        <w:ind w:left="4680" w:hanging="360"/>
      </w:pPr>
      <w:rPr>
        <w:rFonts w:ascii="Wingdings" w:hAnsi="Wingdings" w:hint="default"/>
      </w:rPr>
    </w:lvl>
    <w:lvl w:ilvl="6" w:tplc="22D81DBE" w:tentative="1">
      <w:start w:val="1"/>
      <w:numFmt w:val="bullet"/>
      <w:lvlText w:val=""/>
      <w:lvlJc w:val="left"/>
      <w:pPr>
        <w:ind w:left="5400" w:hanging="360"/>
      </w:pPr>
      <w:rPr>
        <w:rFonts w:ascii="Symbol" w:hAnsi="Symbol" w:hint="default"/>
      </w:rPr>
    </w:lvl>
    <w:lvl w:ilvl="7" w:tplc="51CEB996" w:tentative="1">
      <w:start w:val="1"/>
      <w:numFmt w:val="bullet"/>
      <w:lvlText w:val="o"/>
      <w:lvlJc w:val="left"/>
      <w:pPr>
        <w:ind w:left="6120" w:hanging="360"/>
      </w:pPr>
      <w:rPr>
        <w:rFonts w:ascii="Courier New" w:hAnsi="Courier New" w:cs="Courier New" w:hint="default"/>
      </w:rPr>
    </w:lvl>
    <w:lvl w:ilvl="8" w:tplc="29D2D1C8"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C"/>
    <w:rsid w:val="006B6E48"/>
    <w:rsid w:val="00BE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1BE163-1DA2-48C3-AB62-20A35BF8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9275A"/>
    <w:rPr>
      <w:sz w:val="16"/>
      <w:szCs w:val="16"/>
    </w:rPr>
  </w:style>
  <w:style w:type="paragraph" w:styleId="CommentText">
    <w:name w:val="annotation text"/>
    <w:basedOn w:val="Normal"/>
    <w:link w:val="CommentTextChar"/>
    <w:semiHidden/>
    <w:unhideWhenUsed/>
    <w:rsid w:val="0069275A"/>
    <w:rPr>
      <w:sz w:val="20"/>
      <w:szCs w:val="20"/>
    </w:rPr>
  </w:style>
  <w:style w:type="character" w:customStyle="1" w:styleId="CommentTextChar">
    <w:name w:val="Comment Text Char"/>
    <w:basedOn w:val="DefaultParagraphFont"/>
    <w:link w:val="CommentText"/>
    <w:semiHidden/>
    <w:rsid w:val="0069275A"/>
  </w:style>
  <w:style w:type="paragraph" w:styleId="CommentSubject">
    <w:name w:val="annotation subject"/>
    <w:basedOn w:val="CommentText"/>
    <w:next w:val="CommentText"/>
    <w:link w:val="CommentSubjectChar"/>
    <w:semiHidden/>
    <w:unhideWhenUsed/>
    <w:rsid w:val="0069275A"/>
    <w:rPr>
      <w:b/>
      <w:bCs/>
    </w:rPr>
  </w:style>
  <w:style w:type="character" w:customStyle="1" w:styleId="CommentSubjectChar">
    <w:name w:val="Comment Subject Char"/>
    <w:basedOn w:val="CommentTextChar"/>
    <w:link w:val="CommentSubject"/>
    <w:semiHidden/>
    <w:rsid w:val="0069275A"/>
    <w:rPr>
      <w:b/>
      <w:bCs/>
    </w:rPr>
  </w:style>
  <w:style w:type="character" w:styleId="Hyperlink">
    <w:name w:val="Hyperlink"/>
    <w:basedOn w:val="DefaultParagraphFont"/>
    <w:unhideWhenUsed/>
    <w:rsid w:val="0021182A"/>
    <w:rPr>
      <w:color w:val="0000FF" w:themeColor="hyperlink"/>
      <w:u w:val="single"/>
    </w:rPr>
  </w:style>
  <w:style w:type="character" w:styleId="FollowedHyperlink">
    <w:name w:val="FollowedHyperlink"/>
    <w:basedOn w:val="DefaultParagraphFont"/>
    <w:semiHidden/>
    <w:unhideWhenUsed/>
    <w:rsid w:val="00633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3769</Characters>
  <Application>Microsoft Office Word</Application>
  <DocSecurity>4</DocSecurity>
  <Lines>85</Lines>
  <Paragraphs>28</Paragraphs>
  <ScaleCrop>false</ScaleCrop>
  <HeadingPairs>
    <vt:vector size="2" baseType="variant">
      <vt:variant>
        <vt:lpstr>Title</vt:lpstr>
      </vt:variant>
      <vt:variant>
        <vt:i4>1</vt:i4>
      </vt:variant>
    </vt:vector>
  </HeadingPairs>
  <TitlesOfParts>
    <vt:vector size="1" baseType="lpstr">
      <vt:lpstr>BA - SB00037 (Committee Report (Unamended))</vt:lpstr>
    </vt:vector>
  </TitlesOfParts>
  <Company>State of Texas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31175</dc:subject>
  <dc:creator>State of Texas</dc:creator>
  <dc:description>SB 37 by Zaffirini-(H)Higher Education</dc:description>
  <cp:lastModifiedBy>Laura Ramsay</cp:lastModifiedBy>
  <cp:revision>2</cp:revision>
  <cp:lastPrinted>2003-11-26T17:21:00Z</cp:lastPrinted>
  <dcterms:created xsi:type="dcterms:W3CDTF">2019-05-13T15:35:00Z</dcterms:created>
  <dcterms:modified xsi:type="dcterms:W3CDTF">2019-05-13T15:35:00Z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19.121.687</vt:lpwstr>
  </property>
</Properties>
</file>