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B5458" w:rsidTr="00345119">
        <w:tc>
          <w:tcPr>
            <w:tcW w:w="9576" w:type="dxa"/>
            <w:noWrap/>
          </w:tcPr>
          <w:p w:rsidR="008423E4" w:rsidRPr="0022177D" w:rsidRDefault="00E66FA2" w:rsidP="00345119">
            <w:pPr>
              <w:pStyle w:val="Heading1"/>
            </w:pPr>
            <w:bookmarkStart w:id="0" w:name="_GoBack"/>
            <w:bookmarkEnd w:id="0"/>
            <w:r w:rsidRPr="00631897">
              <w:t>BILL ANALYSIS</w:t>
            </w:r>
          </w:p>
        </w:tc>
      </w:tr>
    </w:tbl>
    <w:p w:rsidR="008423E4" w:rsidRPr="0022177D" w:rsidRDefault="00E66FA2" w:rsidP="008423E4">
      <w:pPr>
        <w:jc w:val="center"/>
      </w:pPr>
    </w:p>
    <w:p w:rsidR="008423E4" w:rsidRPr="00B31F0E" w:rsidRDefault="00E66FA2" w:rsidP="008423E4"/>
    <w:p w:rsidR="008423E4" w:rsidRPr="00742794" w:rsidRDefault="00E66FA2" w:rsidP="008423E4">
      <w:pPr>
        <w:tabs>
          <w:tab w:val="right" w:pos="9360"/>
        </w:tabs>
      </w:pPr>
    </w:p>
    <w:tbl>
      <w:tblPr>
        <w:tblW w:w="0" w:type="auto"/>
        <w:tblLayout w:type="fixed"/>
        <w:tblLook w:val="01E0" w:firstRow="1" w:lastRow="1" w:firstColumn="1" w:lastColumn="1" w:noHBand="0" w:noVBand="0"/>
      </w:tblPr>
      <w:tblGrid>
        <w:gridCol w:w="9576"/>
      </w:tblGrid>
      <w:tr w:rsidR="001B5458" w:rsidTr="00345119">
        <w:tc>
          <w:tcPr>
            <w:tcW w:w="9576" w:type="dxa"/>
          </w:tcPr>
          <w:p w:rsidR="008423E4" w:rsidRPr="00861995" w:rsidRDefault="00E66FA2" w:rsidP="00345119">
            <w:pPr>
              <w:jc w:val="right"/>
            </w:pPr>
            <w:r>
              <w:t>S.B. 41</w:t>
            </w:r>
          </w:p>
        </w:tc>
      </w:tr>
      <w:tr w:rsidR="001B5458" w:rsidTr="00345119">
        <w:tc>
          <w:tcPr>
            <w:tcW w:w="9576" w:type="dxa"/>
          </w:tcPr>
          <w:p w:rsidR="008423E4" w:rsidRPr="00861995" w:rsidRDefault="00E66FA2" w:rsidP="00345119">
            <w:pPr>
              <w:jc w:val="right"/>
            </w:pPr>
            <w:r>
              <w:t xml:space="preserve">By: </w:t>
            </w:r>
            <w:r>
              <w:t>Zaffirini</w:t>
            </w:r>
          </w:p>
        </w:tc>
      </w:tr>
      <w:tr w:rsidR="001B5458" w:rsidTr="00345119">
        <w:tc>
          <w:tcPr>
            <w:tcW w:w="9576" w:type="dxa"/>
          </w:tcPr>
          <w:p w:rsidR="008423E4" w:rsidRPr="00861995" w:rsidRDefault="00E66FA2" w:rsidP="00345119">
            <w:pPr>
              <w:jc w:val="right"/>
            </w:pPr>
            <w:r>
              <w:t>Judiciary &amp; Civil Jurisprudence</w:t>
            </w:r>
          </w:p>
        </w:tc>
      </w:tr>
      <w:tr w:rsidR="001B5458" w:rsidTr="00345119">
        <w:tc>
          <w:tcPr>
            <w:tcW w:w="9576" w:type="dxa"/>
          </w:tcPr>
          <w:p w:rsidR="008423E4" w:rsidRDefault="00E66FA2" w:rsidP="00345119">
            <w:pPr>
              <w:jc w:val="right"/>
            </w:pPr>
            <w:r>
              <w:t>Committee Report (Unamended)</w:t>
            </w:r>
          </w:p>
        </w:tc>
      </w:tr>
    </w:tbl>
    <w:p w:rsidR="008423E4" w:rsidRDefault="00E66FA2" w:rsidP="008423E4">
      <w:pPr>
        <w:tabs>
          <w:tab w:val="right" w:pos="9360"/>
        </w:tabs>
      </w:pPr>
    </w:p>
    <w:p w:rsidR="008423E4" w:rsidRDefault="00E66FA2" w:rsidP="008423E4"/>
    <w:p w:rsidR="008423E4" w:rsidRDefault="00E66FA2" w:rsidP="008423E4"/>
    <w:tbl>
      <w:tblPr>
        <w:tblW w:w="0" w:type="auto"/>
        <w:tblCellMar>
          <w:left w:w="115" w:type="dxa"/>
          <w:right w:w="115" w:type="dxa"/>
        </w:tblCellMar>
        <w:tblLook w:val="01E0" w:firstRow="1" w:lastRow="1" w:firstColumn="1" w:lastColumn="1" w:noHBand="0" w:noVBand="0"/>
      </w:tblPr>
      <w:tblGrid>
        <w:gridCol w:w="9576"/>
      </w:tblGrid>
      <w:tr w:rsidR="001B5458" w:rsidTr="00345119">
        <w:tc>
          <w:tcPr>
            <w:tcW w:w="9576" w:type="dxa"/>
          </w:tcPr>
          <w:p w:rsidR="008423E4" w:rsidRPr="00A8133F" w:rsidRDefault="00E66FA2" w:rsidP="0089652E">
            <w:pPr>
              <w:rPr>
                <w:b/>
              </w:rPr>
            </w:pPr>
            <w:r w:rsidRPr="009C1E9A">
              <w:rPr>
                <w:b/>
                <w:u w:val="single"/>
              </w:rPr>
              <w:t>BACKGROUND AND PURPOSE</w:t>
            </w:r>
            <w:r>
              <w:rPr>
                <w:b/>
              </w:rPr>
              <w:t xml:space="preserve"> </w:t>
            </w:r>
          </w:p>
          <w:p w:rsidR="008423E4" w:rsidRDefault="00E66FA2" w:rsidP="0089652E"/>
          <w:p w:rsidR="008423E4" w:rsidRDefault="00E66FA2" w:rsidP="0089652E">
            <w:pPr>
              <w:pStyle w:val="Header"/>
              <w:tabs>
                <w:tab w:val="clear" w:pos="4320"/>
                <w:tab w:val="clear" w:pos="8640"/>
              </w:tabs>
              <w:jc w:val="both"/>
            </w:pPr>
            <w:r w:rsidRPr="00F447E5">
              <w:t>It has been noted that certain legal professionals who provide pro bono legal services are subject to rotating appointment</w:t>
            </w:r>
            <w:r w:rsidRPr="00F447E5">
              <w:t xml:space="preserve"> for cases in which an attorney ad litem, guardian ad litem, or guardian is necessary. Due to the fact that these persons already provide legal services for little to no cost where need exists, it has been suggested that they should not be subject to such </w:t>
            </w:r>
            <w:r w:rsidRPr="00F447E5">
              <w:t>appointments. Furthermore, concerns have been raised that this has diminished the ability of legal aid programs to recruit volunteers to provide these services.</w:t>
            </w:r>
            <w:r>
              <w:t xml:space="preserve"> S.B. 41</w:t>
            </w:r>
            <w:r w:rsidRPr="00F447E5">
              <w:t xml:space="preserve"> seeks to address these issues by exempting certain attorneys ad litem, guardians ad lit</w:t>
            </w:r>
            <w:r w:rsidRPr="00F447E5">
              <w:t>em, amicus attorney</w:t>
            </w:r>
            <w:r>
              <w:t>s</w:t>
            </w:r>
            <w:r w:rsidRPr="00F447E5">
              <w:t>, and mediators from the rotating appointment and related reporting requirement.</w:t>
            </w:r>
          </w:p>
          <w:p w:rsidR="008423E4" w:rsidRPr="00E26B13" w:rsidRDefault="00E66FA2" w:rsidP="0089652E">
            <w:pPr>
              <w:rPr>
                <w:b/>
              </w:rPr>
            </w:pPr>
          </w:p>
        </w:tc>
      </w:tr>
      <w:tr w:rsidR="001B5458" w:rsidTr="00345119">
        <w:tc>
          <w:tcPr>
            <w:tcW w:w="9576" w:type="dxa"/>
          </w:tcPr>
          <w:p w:rsidR="0017725B" w:rsidRDefault="00E66FA2" w:rsidP="0089652E">
            <w:pPr>
              <w:rPr>
                <w:b/>
                <w:u w:val="single"/>
              </w:rPr>
            </w:pPr>
            <w:r>
              <w:rPr>
                <w:b/>
                <w:u w:val="single"/>
              </w:rPr>
              <w:t>CRIMINAL JUSTICE IMPACT</w:t>
            </w:r>
          </w:p>
          <w:p w:rsidR="0017725B" w:rsidRDefault="00E66FA2" w:rsidP="0089652E">
            <w:pPr>
              <w:rPr>
                <w:b/>
                <w:u w:val="single"/>
              </w:rPr>
            </w:pPr>
          </w:p>
          <w:p w:rsidR="002A7449" w:rsidRPr="002A7449" w:rsidRDefault="00E66FA2" w:rsidP="0089652E">
            <w:pPr>
              <w:jc w:val="both"/>
            </w:pPr>
            <w:r>
              <w:t>It is the committee's opinion that this bill does not expressly create a criminal offense, increase the punishment for an existi</w:t>
            </w:r>
            <w:r>
              <w:t>ng criminal offense or category of offenses, or change the eligibility of a person for community supervision, parole, or mandatory supervision.</w:t>
            </w:r>
          </w:p>
          <w:p w:rsidR="0017725B" w:rsidRPr="0017725B" w:rsidRDefault="00E66FA2" w:rsidP="0089652E">
            <w:pPr>
              <w:rPr>
                <w:b/>
                <w:u w:val="single"/>
              </w:rPr>
            </w:pPr>
          </w:p>
        </w:tc>
      </w:tr>
      <w:tr w:rsidR="001B5458" w:rsidTr="00345119">
        <w:tc>
          <w:tcPr>
            <w:tcW w:w="9576" w:type="dxa"/>
          </w:tcPr>
          <w:p w:rsidR="008423E4" w:rsidRPr="00A8133F" w:rsidRDefault="00E66FA2" w:rsidP="0089652E">
            <w:pPr>
              <w:rPr>
                <w:b/>
              </w:rPr>
            </w:pPr>
            <w:r w:rsidRPr="009C1E9A">
              <w:rPr>
                <w:b/>
                <w:u w:val="single"/>
              </w:rPr>
              <w:t>RULEMAKING AUTHORITY</w:t>
            </w:r>
            <w:r>
              <w:rPr>
                <w:b/>
              </w:rPr>
              <w:t xml:space="preserve"> </w:t>
            </w:r>
          </w:p>
          <w:p w:rsidR="008423E4" w:rsidRDefault="00E66FA2" w:rsidP="0089652E"/>
          <w:p w:rsidR="002A7449" w:rsidRDefault="00E66FA2" w:rsidP="0089652E">
            <w:pPr>
              <w:pStyle w:val="Header"/>
              <w:tabs>
                <w:tab w:val="clear" w:pos="4320"/>
                <w:tab w:val="clear" w:pos="8640"/>
              </w:tabs>
              <w:jc w:val="both"/>
            </w:pPr>
            <w:r>
              <w:t>It is the committee's opinion that this bill does not expressly grant any additional ru</w:t>
            </w:r>
            <w:r>
              <w:t>lemaking authority to a state officer, department, agency, or institution.</w:t>
            </w:r>
          </w:p>
          <w:p w:rsidR="008423E4" w:rsidRPr="00E21FDC" w:rsidRDefault="00E66FA2" w:rsidP="0089652E">
            <w:pPr>
              <w:rPr>
                <w:b/>
              </w:rPr>
            </w:pPr>
          </w:p>
        </w:tc>
      </w:tr>
      <w:tr w:rsidR="001B5458" w:rsidTr="00345119">
        <w:tc>
          <w:tcPr>
            <w:tcW w:w="9576" w:type="dxa"/>
          </w:tcPr>
          <w:p w:rsidR="008423E4" w:rsidRPr="00A8133F" w:rsidRDefault="00E66FA2" w:rsidP="0089652E">
            <w:pPr>
              <w:rPr>
                <w:b/>
              </w:rPr>
            </w:pPr>
            <w:r w:rsidRPr="009C1E9A">
              <w:rPr>
                <w:b/>
                <w:u w:val="single"/>
              </w:rPr>
              <w:t>ANALYSIS</w:t>
            </w:r>
            <w:r>
              <w:rPr>
                <w:b/>
              </w:rPr>
              <w:t xml:space="preserve"> </w:t>
            </w:r>
          </w:p>
          <w:p w:rsidR="008423E4" w:rsidRDefault="00E66FA2" w:rsidP="0089652E"/>
          <w:p w:rsidR="002A7449" w:rsidRDefault="00E66FA2" w:rsidP="0089652E">
            <w:pPr>
              <w:pStyle w:val="Header"/>
              <w:tabs>
                <w:tab w:val="clear" w:pos="4320"/>
                <w:tab w:val="clear" w:pos="8640"/>
              </w:tabs>
              <w:jc w:val="both"/>
            </w:pPr>
            <w:r>
              <w:t>S.B. 41</w:t>
            </w:r>
            <w:r w:rsidRPr="002A7449">
              <w:t xml:space="preserve"> amends the Government Code to exempt from appointment</w:t>
            </w:r>
            <w:r w:rsidRPr="002A7449">
              <w:t xml:space="preserve"> as an attorney ad litem, guardian ad litem, or guardian, with respect to a case in which such appointment is necessary and is made using a rotation system, an attorney ad litem, guardian ad litem, amicus attorney, or mediator providing services without ex</w:t>
            </w:r>
            <w:r w:rsidRPr="002A7449">
              <w:t>pectation or receipt of compensation or providing services as a volunteer of a nonprofit organization that provides pro bono legal services to the indigent. The requirement that the clerk of a court report on appointments for an attorney ad litem, guardian</w:t>
            </w:r>
            <w:r w:rsidRPr="002A7449">
              <w:t xml:space="preserve"> ad litem, guardian, mediator, or competency evaluator for a case before the court in the preceding month does not apply to the persons exempted by the bill. </w:t>
            </w:r>
            <w:r>
              <w:t xml:space="preserve">The bill </w:t>
            </w:r>
            <w:r>
              <w:t xml:space="preserve">authorizes a court to appoint a person </w:t>
            </w:r>
            <w:r>
              <w:t>whose name does not appear first on</w:t>
            </w:r>
            <w:r>
              <w:t xml:space="preserve"> the list </w:t>
            </w:r>
            <w:r>
              <w:t xml:space="preserve">from which the court makes appointments using a rotation system </w:t>
            </w:r>
            <w:r>
              <w:t xml:space="preserve">or a person who meets statutory or other requirements to serve and who is not included on the list if, within 30 days preceding the date of appointment, an initial declaration </w:t>
            </w:r>
            <w:r>
              <w:t>of a state of di</w:t>
            </w:r>
            <w:r>
              <w:t>saster</w:t>
            </w:r>
            <w:r>
              <w:t>, as defined by the bill,</w:t>
            </w:r>
            <w:r>
              <w:t xml:space="preserve"> is made for the area served by the court. </w:t>
            </w:r>
          </w:p>
          <w:p w:rsidR="008423E4" w:rsidRPr="00835628" w:rsidRDefault="00E66FA2" w:rsidP="0089652E">
            <w:pPr>
              <w:rPr>
                <w:b/>
              </w:rPr>
            </w:pPr>
          </w:p>
        </w:tc>
      </w:tr>
      <w:tr w:rsidR="001B5458" w:rsidTr="00345119">
        <w:tc>
          <w:tcPr>
            <w:tcW w:w="9576" w:type="dxa"/>
          </w:tcPr>
          <w:p w:rsidR="008423E4" w:rsidRPr="00A8133F" w:rsidRDefault="00E66FA2" w:rsidP="0089652E">
            <w:pPr>
              <w:rPr>
                <w:b/>
              </w:rPr>
            </w:pPr>
            <w:r w:rsidRPr="009C1E9A">
              <w:rPr>
                <w:b/>
                <w:u w:val="single"/>
              </w:rPr>
              <w:t>EFFECTIVE DATE</w:t>
            </w:r>
            <w:r>
              <w:rPr>
                <w:b/>
              </w:rPr>
              <w:t xml:space="preserve"> </w:t>
            </w:r>
          </w:p>
          <w:p w:rsidR="008423E4" w:rsidRDefault="00E66FA2" w:rsidP="0089652E"/>
          <w:p w:rsidR="008423E4" w:rsidRPr="003624F2" w:rsidRDefault="00E66FA2" w:rsidP="0089652E">
            <w:pPr>
              <w:pStyle w:val="Header"/>
              <w:tabs>
                <w:tab w:val="clear" w:pos="4320"/>
                <w:tab w:val="clear" w:pos="8640"/>
              </w:tabs>
              <w:jc w:val="both"/>
            </w:pPr>
            <w:r>
              <w:t>September 1, 2019.</w:t>
            </w:r>
          </w:p>
          <w:p w:rsidR="008423E4" w:rsidRPr="00233FDB" w:rsidRDefault="00E66FA2" w:rsidP="0089652E">
            <w:pPr>
              <w:rPr>
                <w:b/>
              </w:rPr>
            </w:pPr>
          </w:p>
        </w:tc>
      </w:tr>
    </w:tbl>
    <w:p w:rsidR="008423E4" w:rsidRPr="00BE0E75" w:rsidRDefault="00E66FA2" w:rsidP="008423E4">
      <w:pPr>
        <w:spacing w:line="480" w:lineRule="auto"/>
        <w:jc w:val="both"/>
        <w:rPr>
          <w:rFonts w:ascii="Arial" w:hAnsi="Arial"/>
          <w:sz w:val="16"/>
          <w:szCs w:val="16"/>
        </w:rPr>
      </w:pPr>
    </w:p>
    <w:p w:rsidR="004108C3" w:rsidRPr="008423E4" w:rsidRDefault="00E66FA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6FA2">
      <w:r>
        <w:separator/>
      </w:r>
    </w:p>
  </w:endnote>
  <w:endnote w:type="continuationSeparator" w:id="0">
    <w:p w:rsidR="00000000" w:rsidRDefault="00E6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66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B5458" w:rsidTr="009C1E9A">
      <w:trPr>
        <w:cantSplit/>
      </w:trPr>
      <w:tc>
        <w:tcPr>
          <w:tcW w:w="0" w:type="pct"/>
        </w:tcPr>
        <w:p w:rsidR="00137D90" w:rsidRDefault="00E66FA2" w:rsidP="009C1E9A">
          <w:pPr>
            <w:pStyle w:val="Footer"/>
            <w:tabs>
              <w:tab w:val="clear" w:pos="8640"/>
              <w:tab w:val="right" w:pos="9360"/>
            </w:tabs>
          </w:pPr>
        </w:p>
      </w:tc>
      <w:tc>
        <w:tcPr>
          <w:tcW w:w="2395" w:type="pct"/>
        </w:tcPr>
        <w:p w:rsidR="00137D90" w:rsidRDefault="00E66FA2" w:rsidP="009C1E9A">
          <w:pPr>
            <w:pStyle w:val="Footer"/>
            <w:tabs>
              <w:tab w:val="clear" w:pos="8640"/>
              <w:tab w:val="right" w:pos="9360"/>
            </w:tabs>
          </w:pPr>
        </w:p>
        <w:p w:rsidR="001A4310" w:rsidRDefault="00E66FA2" w:rsidP="009C1E9A">
          <w:pPr>
            <w:pStyle w:val="Footer"/>
            <w:tabs>
              <w:tab w:val="clear" w:pos="8640"/>
              <w:tab w:val="right" w:pos="9360"/>
            </w:tabs>
          </w:pPr>
        </w:p>
        <w:p w:rsidR="00137D90" w:rsidRDefault="00E66FA2" w:rsidP="009C1E9A">
          <w:pPr>
            <w:pStyle w:val="Footer"/>
            <w:tabs>
              <w:tab w:val="clear" w:pos="8640"/>
              <w:tab w:val="right" w:pos="9360"/>
            </w:tabs>
          </w:pPr>
        </w:p>
      </w:tc>
      <w:tc>
        <w:tcPr>
          <w:tcW w:w="2453" w:type="pct"/>
        </w:tcPr>
        <w:p w:rsidR="00137D90" w:rsidRDefault="00E66FA2" w:rsidP="009C1E9A">
          <w:pPr>
            <w:pStyle w:val="Footer"/>
            <w:tabs>
              <w:tab w:val="clear" w:pos="8640"/>
              <w:tab w:val="right" w:pos="9360"/>
            </w:tabs>
            <w:jc w:val="right"/>
          </w:pPr>
        </w:p>
      </w:tc>
    </w:tr>
    <w:tr w:rsidR="001B5458" w:rsidTr="009C1E9A">
      <w:trPr>
        <w:cantSplit/>
      </w:trPr>
      <w:tc>
        <w:tcPr>
          <w:tcW w:w="0" w:type="pct"/>
        </w:tcPr>
        <w:p w:rsidR="00EC379B" w:rsidRDefault="00E66FA2" w:rsidP="009C1E9A">
          <w:pPr>
            <w:pStyle w:val="Footer"/>
            <w:tabs>
              <w:tab w:val="clear" w:pos="8640"/>
              <w:tab w:val="right" w:pos="9360"/>
            </w:tabs>
          </w:pPr>
        </w:p>
      </w:tc>
      <w:tc>
        <w:tcPr>
          <w:tcW w:w="2395" w:type="pct"/>
        </w:tcPr>
        <w:p w:rsidR="00EC379B" w:rsidRPr="009C1E9A" w:rsidRDefault="00E66FA2" w:rsidP="009C1E9A">
          <w:pPr>
            <w:pStyle w:val="Footer"/>
            <w:tabs>
              <w:tab w:val="clear" w:pos="8640"/>
              <w:tab w:val="right" w:pos="9360"/>
            </w:tabs>
            <w:rPr>
              <w:rFonts w:ascii="Shruti" w:hAnsi="Shruti"/>
              <w:sz w:val="22"/>
            </w:rPr>
          </w:pPr>
          <w:r>
            <w:rPr>
              <w:rFonts w:ascii="Shruti" w:hAnsi="Shruti"/>
              <w:sz w:val="22"/>
            </w:rPr>
            <w:t>86R 27910</w:t>
          </w:r>
        </w:p>
      </w:tc>
      <w:tc>
        <w:tcPr>
          <w:tcW w:w="2453" w:type="pct"/>
        </w:tcPr>
        <w:p w:rsidR="00EC379B" w:rsidRDefault="00E66FA2" w:rsidP="009C1E9A">
          <w:pPr>
            <w:pStyle w:val="Footer"/>
            <w:tabs>
              <w:tab w:val="clear" w:pos="8640"/>
              <w:tab w:val="right" w:pos="9360"/>
            </w:tabs>
            <w:jc w:val="right"/>
          </w:pPr>
          <w:r>
            <w:fldChar w:fldCharType="begin"/>
          </w:r>
          <w:r>
            <w:instrText xml:space="preserve"> DOCPROPERTY  OTID  \* MERGEFORMAT </w:instrText>
          </w:r>
          <w:r>
            <w:fldChar w:fldCharType="separate"/>
          </w:r>
          <w:r>
            <w:t>19.107.358</w:t>
          </w:r>
          <w:r>
            <w:fldChar w:fldCharType="end"/>
          </w:r>
        </w:p>
      </w:tc>
    </w:tr>
    <w:tr w:rsidR="001B5458" w:rsidTr="009C1E9A">
      <w:trPr>
        <w:cantSplit/>
      </w:trPr>
      <w:tc>
        <w:tcPr>
          <w:tcW w:w="0" w:type="pct"/>
        </w:tcPr>
        <w:p w:rsidR="00EC379B" w:rsidRDefault="00E66FA2" w:rsidP="009C1E9A">
          <w:pPr>
            <w:pStyle w:val="Footer"/>
            <w:tabs>
              <w:tab w:val="clear" w:pos="4320"/>
              <w:tab w:val="clear" w:pos="8640"/>
              <w:tab w:val="left" w:pos="2865"/>
            </w:tabs>
          </w:pPr>
        </w:p>
      </w:tc>
      <w:tc>
        <w:tcPr>
          <w:tcW w:w="2395" w:type="pct"/>
        </w:tcPr>
        <w:p w:rsidR="00EC379B" w:rsidRPr="009C1E9A" w:rsidRDefault="00E66FA2" w:rsidP="009C1E9A">
          <w:pPr>
            <w:pStyle w:val="Footer"/>
            <w:tabs>
              <w:tab w:val="clear" w:pos="4320"/>
              <w:tab w:val="clear" w:pos="8640"/>
              <w:tab w:val="left" w:pos="2865"/>
            </w:tabs>
            <w:rPr>
              <w:rFonts w:ascii="Shruti" w:hAnsi="Shruti"/>
              <w:sz w:val="22"/>
            </w:rPr>
          </w:pPr>
        </w:p>
      </w:tc>
      <w:tc>
        <w:tcPr>
          <w:tcW w:w="2453" w:type="pct"/>
        </w:tcPr>
        <w:p w:rsidR="00EC379B" w:rsidRDefault="00E66FA2" w:rsidP="006D504F">
          <w:pPr>
            <w:pStyle w:val="Footer"/>
            <w:rPr>
              <w:rStyle w:val="PageNumber"/>
            </w:rPr>
          </w:pPr>
        </w:p>
        <w:p w:rsidR="00EC379B" w:rsidRDefault="00E66FA2" w:rsidP="009C1E9A">
          <w:pPr>
            <w:pStyle w:val="Footer"/>
            <w:tabs>
              <w:tab w:val="clear" w:pos="8640"/>
              <w:tab w:val="right" w:pos="9360"/>
            </w:tabs>
            <w:jc w:val="right"/>
          </w:pPr>
        </w:p>
      </w:tc>
    </w:tr>
    <w:tr w:rsidR="001B5458" w:rsidTr="009C1E9A">
      <w:trPr>
        <w:cantSplit/>
        <w:trHeight w:val="323"/>
      </w:trPr>
      <w:tc>
        <w:tcPr>
          <w:tcW w:w="0" w:type="pct"/>
          <w:gridSpan w:val="3"/>
        </w:tcPr>
        <w:p w:rsidR="00EC379B" w:rsidRDefault="00E66F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66FA2" w:rsidP="009C1E9A">
          <w:pPr>
            <w:pStyle w:val="Footer"/>
            <w:tabs>
              <w:tab w:val="clear" w:pos="8640"/>
              <w:tab w:val="right" w:pos="9360"/>
            </w:tabs>
            <w:jc w:val="center"/>
          </w:pPr>
        </w:p>
      </w:tc>
    </w:tr>
  </w:tbl>
  <w:p w:rsidR="00EC379B" w:rsidRPr="00FF6F72" w:rsidRDefault="00E66FA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6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6FA2">
      <w:r>
        <w:separator/>
      </w:r>
    </w:p>
  </w:footnote>
  <w:footnote w:type="continuationSeparator" w:id="0">
    <w:p w:rsidR="00000000" w:rsidRDefault="00E6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66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66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66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58"/>
    <w:rsid w:val="001B5458"/>
    <w:rsid w:val="00E6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0E137-33EE-4AAE-B9E6-3A6B252D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51F9C"/>
    <w:rPr>
      <w:sz w:val="16"/>
      <w:szCs w:val="16"/>
    </w:rPr>
  </w:style>
  <w:style w:type="paragraph" w:styleId="CommentText">
    <w:name w:val="annotation text"/>
    <w:basedOn w:val="Normal"/>
    <w:link w:val="CommentTextChar"/>
    <w:semiHidden/>
    <w:unhideWhenUsed/>
    <w:rsid w:val="00051F9C"/>
    <w:rPr>
      <w:sz w:val="20"/>
      <w:szCs w:val="20"/>
    </w:rPr>
  </w:style>
  <w:style w:type="character" w:customStyle="1" w:styleId="CommentTextChar">
    <w:name w:val="Comment Text Char"/>
    <w:basedOn w:val="DefaultParagraphFont"/>
    <w:link w:val="CommentText"/>
    <w:semiHidden/>
    <w:rsid w:val="00051F9C"/>
  </w:style>
  <w:style w:type="paragraph" w:styleId="CommentSubject">
    <w:name w:val="annotation subject"/>
    <w:basedOn w:val="CommentText"/>
    <w:next w:val="CommentText"/>
    <w:link w:val="CommentSubjectChar"/>
    <w:semiHidden/>
    <w:unhideWhenUsed/>
    <w:rsid w:val="00051F9C"/>
    <w:rPr>
      <w:b/>
      <w:bCs/>
    </w:rPr>
  </w:style>
  <w:style w:type="character" w:customStyle="1" w:styleId="CommentSubjectChar">
    <w:name w:val="Comment Subject Char"/>
    <w:basedOn w:val="CommentTextChar"/>
    <w:link w:val="CommentSubject"/>
    <w:semiHidden/>
    <w:rsid w:val="00051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2125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BA - SB00041 (Committee Report (Unamended))</vt:lpstr>
    </vt:vector>
  </TitlesOfParts>
  <Company>State of Texas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27910</dc:subject>
  <dc:creator>State of Texas</dc:creator>
  <dc:description>SB 41 by Zaffirini-(H)Judiciary &amp; Civil Jurisprudence</dc:description>
  <cp:lastModifiedBy>Scotty Wimberley</cp:lastModifiedBy>
  <cp:revision>2</cp:revision>
  <cp:lastPrinted>2003-11-26T17:21:00Z</cp:lastPrinted>
  <dcterms:created xsi:type="dcterms:W3CDTF">2019-04-30T22:52:00Z</dcterms:created>
  <dcterms:modified xsi:type="dcterms:W3CDTF">2019-04-30T22:52:00Z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19.107.358</vt:lpwstr>
  </property>
</Properties>
</file>